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0" w:lineRule="exact"/>
      </w:pPr>
    </w:p>
    <w:p>
      <w:pPr>
        <w:spacing w:line="510" w:lineRule="exact"/>
      </w:pPr>
      <w:r>
        <w:rPr>
          <w:rFonts w:eastAsia="方正小标宋简体"/>
          <w:spacing w:val="-30"/>
          <w:sz w:val="2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95885</wp:posOffset>
                </wp:positionV>
                <wp:extent cx="5676900" cy="1616075"/>
                <wp:effectExtent l="0" t="0" r="0" b="0"/>
                <wp:wrapNone/>
                <wp:docPr id="5" name="文本框 5"/>
                <wp:cNvGraphicFramePr/>
                <a:graphic xmlns:a="http://schemas.openxmlformats.org/drawingml/2006/main">
                  <a:graphicData uri="http://schemas.microsoft.com/office/word/2010/wordprocessingShape">
                    <wps:wsp>
                      <wps:cNvSpPr txBox="1"/>
                      <wps:spPr>
                        <a:xfrm>
                          <a:off x="0" y="0"/>
                          <a:ext cx="5676900" cy="1616075"/>
                        </a:xfrm>
                        <a:prstGeom prst="rect">
                          <a:avLst/>
                        </a:prstGeom>
                        <a:noFill/>
                        <a:ln w="9525">
                          <a:noFill/>
                        </a:ln>
                      </wps:spPr>
                      <wps:txbx>
                        <w:txbxContent>
                          <w:p>
                            <w:pPr>
                              <w:jc w:val="center"/>
                              <w:rPr>
                                <w:rFonts w:hint="eastAsia" w:eastAsia="方正小标宋简体"/>
                                <w:bCs/>
                                <w:color w:val="FF0000"/>
                                <w:sz w:val="52"/>
                              </w:rPr>
                            </w:pPr>
                            <w:r>
                              <w:rPr>
                                <w:rFonts w:hint="eastAsia" w:eastAsia="方正小标宋简体"/>
                                <w:bCs/>
                                <w:color w:val="FF0000"/>
                                <w:sz w:val="52"/>
                              </w:rPr>
                              <w:t>广 西 壮 族 自 治 区</w:t>
                            </w:r>
                          </w:p>
                          <w:p>
                            <w:pPr>
                              <w:spacing w:before="120" w:beforeLines="50"/>
                              <w:jc w:val="center"/>
                              <w:rPr>
                                <w:rFonts w:hint="eastAsia" w:eastAsia="方正大标宋简体"/>
                                <w:bCs/>
                                <w:color w:val="FF0000"/>
                                <w:spacing w:val="36"/>
                                <w:sz w:val="88"/>
                              </w:rPr>
                            </w:pPr>
                            <w:r>
                              <w:rPr>
                                <w:rFonts w:hint="eastAsia" w:eastAsia="方正小标宋简体"/>
                                <w:bCs/>
                                <w:color w:val="FF0000"/>
                                <w:spacing w:val="36"/>
                                <w:sz w:val="88"/>
                              </w:rPr>
                              <w:t>水</w:t>
                            </w:r>
                            <w:r>
                              <w:rPr>
                                <w:rFonts w:hint="eastAsia" w:eastAsia="方正小标宋简体"/>
                                <w:bCs/>
                                <w:color w:val="FF0000"/>
                                <w:spacing w:val="30"/>
                                <w:sz w:val="88"/>
                              </w:rPr>
                              <w:t xml:space="preserve"> 利 厅 文 </w:t>
                            </w:r>
                            <w:r>
                              <w:rPr>
                                <w:rFonts w:hint="eastAsia" w:eastAsia="方正小标宋简体"/>
                                <w:bCs/>
                                <w:color w:val="FF0000"/>
                                <w:spacing w:val="36"/>
                                <w:sz w:val="88"/>
                              </w:rPr>
                              <w:t>件</w:t>
                            </w:r>
                          </w:p>
                        </w:txbxContent>
                      </wps:txbx>
                      <wps:bodyPr upright="1"/>
                    </wps:wsp>
                  </a:graphicData>
                </a:graphic>
              </wp:anchor>
            </w:drawing>
          </mc:Choice>
          <mc:Fallback>
            <w:pict>
              <v:shape id="_x0000_s1026" o:spid="_x0000_s1026" o:spt="202" type="#_x0000_t202" style="position:absolute;left:0pt;margin-left:0pt;margin-top:7.55pt;height:127.25pt;width:447pt;z-index:251660288;mso-width-relative:page;mso-height-relative:page;" filled="f" stroked="f" coordsize="21600,21600" o:gfxdata="UEsDBAoAAAAAAIdO4kAAAAAAAAAAAAAAAAAEAAAAZHJzL1BLAwQUAAAACACHTuJAdZdGatUAAAAH&#10;AQAADwAAAGRycy9kb3ducmV2LnhtbE2PwW7CMBBE75X4B2uReit2EEQkjcOBqtdWpYDUm4mXJCJe&#10;R7Eh6d93e2qPM7OaeVtsJ9eJOw6h9aQhWSgQSJW3LdUaDp+vTxsQIRqypvOEGr4xwLacPRQmt36k&#10;D7zvYy24hEJuNDQx9rmUoWrQmbDwPRJnFz84E1kOtbSDGbncdXKpVCqdaYkXGtPjrsHqur85Dce3&#10;y9dppd7rF7fuRz8pSS6TWj/OE/UMIuIU/47hF5/RoWSms7+RDaLTwI9EdtcJCE432YqNs4ZlmqUg&#10;y0L+5y9/AFBLAwQUAAAACACHTuJAviYQ1rYBAABYAwAADgAAAGRycy9lMm9Eb2MueG1srVNLbtsw&#10;EN0X6B0I7mvJBqQ0guUAhZFsgqZA2gPQFGURIDkEh7bkCzQ36Kqb7nsun6ND2nGKdJNFN9RwPm/m&#10;vaGWN5M1bK8CanAtn89KzpST0Gm3bfm3r7cfPnKGUbhOGHCq5QeF/Gb1/t1y9I1awACmU4ERiMNm&#10;9C0fYvRNUaAclBU4A68cBXsIVkS6hm3RBTESujXFoizrYoTQ+QBSIZJ3fQryM2J4CyD0vZZqDXJn&#10;lYsn1KCMiEQJB+2Rr/K0fa9kfOh7VJGZlhPTmE9qQvYmncVqKZptEH7Q8jyCeMsIrzhZoR01vUCt&#10;RRRsF/Q/UFbLAAh9nEmwxYlIVoRYzMtX2jwOwqvMhaRGfxEd/x+s/Lz/EpjuWl5x5oSlhR9/PB1/&#10;/j7++s6qJM/osaGsR095cfoEEz2aZz+SM7Ge+mDTl/gwipO4h4u4aopMkrOqr+rrkkKSYvN6XpdX&#10;Gb94KfcB450Cy5LR8kDby6KK/T1GGoVSn1NSNwe32pi8QePY2PLralHlgkuEKoyjwkTiNGyy4rSZ&#10;zsw20B2I2M4HvR2oZ6aW00nw3PH8ONJG/75n0JcfYvU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dZdGatUAAAAHAQAADwAAAAAAAAABACAAAAAiAAAAZHJzL2Rvd25yZXYueG1sUEsBAhQAFAAAAAgA&#10;h07iQL4mENa2AQAAWAMAAA4AAAAAAAAAAQAgAAAAJAEAAGRycy9lMm9Eb2MueG1sUEsFBgAAAAAG&#10;AAYAWQEAAEwFAAAAAA==&#10;">
                <v:fill on="f" focussize="0,0"/>
                <v:stroke on="f"/>
                <v:imagedata o:title=""/>
                <o:lock v:ext="edit" aspectratio="f"/>
                <v:textbox>
                  <w:txbxContent>
                    <w:p>
                      <w:pPr>
                        <w:jc w:val="center"/>
                        <w:rPr>
                          <w:rFonts w:hint="eastAsia" w:eastAsia="方正小标宋简体"/>
                          <w:bCs/>
                          <w:color w:val="FF0000"/>
                          <w:sz w:val="52"/>
                        </w:rPr>
                      </w:pPr>
                      <w:r>
                        <w:rPr>
                          <w:rFonts w:hint="eastAsia" w:eastAsia="方正小标宋简体"/>
                          <w:bCs/>
                          <w:color w:val="FF0000"/>
                          <w:sz w:val="52"/>
                        </w:rPr>
                        <w:t>广 西 壮 族 自 治 区</w:t>
                      </w:r>
                    </w:p>
                    <w:p>
                      <w:pPr>
                        <w:spacing w:before="120" w:beforeLines="50"/>
                        <w:jc w:val="center"/>
                        <w:rPr>
                          <w:rFonts w:hint="eastAsia" w:eastAsia="方正大标宋简体"/>
                          <w:bCs/>
                          <w:color w:val="FF0000"/>
                          <w:spacing w:val="36"/>
                          <w:sz w:val="88"/>
                        </w:rPr>
                      </w:pPr>
                      <w:r>
                        <w:rPr>
                          <w:rFonts w:hint="eastAsia" w:eastAsia="方正小标宋简体"/>
                          <w:bCs/>
                          <w:color w:val="FF0000"/>
                          <w:spacing w:val="36"/>
                          <w:sz w:val="88"/>
                        </w:rPr>
                        <w:t>水</w:t>
                      </w:r>
                      <w:r>
                        <w:rPr>
                          <w:rFonts w:hint="eastAsia" w:eastAsia="方正小标宋简体"/>
                          <w:bCs/>
                          <w:color w:val="FF0000"/>
                          <w:spacing w:val="30"/>
                          <w:sz w:val="88"/>
                        </w:rPr>
                        <w:t xml:space="preserve"> 利 厅 文 </w:t>
                      </w:r>
                      <w:r>
                        <w:rPr>
                          <w:rFonts w:hint="eastAsia" w:eastAsia="方正小标宋简体"/>
                          <w:bCs/>
                          <w:color w:val="FF0000"/>
                          <w:spacing w:val="36"/>
                          <w:sz w:val="88"/>
                        </w:rPr>
                        <w:t>件</w:t>
                      </w:r>
                    </w:p>
                  </w:txbxContent>
                </v:textbox>
              </v:shape>
            </w:pict>
          </mc:Fallback>
        </mc:AlternateContent>
      </w:r>
    </w:p>
    <w:p>
      <w:pPr>
        <w:spacing w:line="510" w:lineRule="exact"/>
      </w:pPr>
    </w:p>
    <w:p>
      <w:pPr>
        <w:spacing w:line="510" w:lineRule="exact"/>
      </w:pPr>
    </w:p>
    <w:p>
      <w:pPr>
        <w:spacing w:line="510" w:lineRule="exact"/>
        <w:rPr>
          <w:rFonts w:eastAsia="方正小标宋简体"/>
          <w:spacing w:val="-30"/>
          <w:sz w:val="84"/>
        </w:rPr>
      </w:pPr>
    </w:p>
    <w:p>
      <w:pPr>
        <w:spacing w:line="510" w:lineRule="exact"/>
        <w:rPr>
          <w:rFonts w:eastAsia="方正小标宋简体"/>
          <w:spacing w:val="-30"/>
        </w:rPr>
      </w:pPr>
    </w:p>
    <w:p>
      <w:pPr>
        <w:spacing w:line="560" w:lineRule="exact"/>
        <w:jc w:val="center"/>
        <w:rPr>
          <w:color w:val="000000"/>
        </w:rPr>
      </w:pPr>
    </w:p>
    <w:p>
      <w:pPr>
        <w:keepNext w:val="0"/>
        <w:keepLines w:val="0"/>
        <w:pageBreakBefore w:val="0"/>
        <w:widowControl w:val="0"/>
        <w:kinsoku/>
        <w:wordWrap/>
        <w:overflowPunct/>
        <w:topLinePunct w:val="0"/>
        <w:autoSpaceDE/>
        <w:autoSpaceDN/>
        <w:bidi w:val="0"/>
        <w:adjustRightInd/>
        <w:snapToGrid/>
        <w:spacing w:after="79" w:afterLines="25" w:line="620" w:lineRule="exact"/>
        <w:ind w:left="0" w:leftChars="0" w:right="0" w:rightChars="0" w:firstLine="0" w:firstLineChars="0"/>
        <w:jc w:val="center"/>
        <w:textAlignment w:val="auto"/>
        <w:outlineLvl w:val="9"/>
        <w:rPr>
          <w:rFonts w:hint="eastAsia" w:eastAsia="仿宋_GB2312"/>
          <w:sz w:val="32"/>
          <w:szCs w:val="32"/>
          <w:lang w:eastAsia="zh-CN"/>
        </w:rPr>
      </w:pPr>
      <w:r>
        <w:rPr>
          <w:rFonts w:hint="eastAsia" w:eastAsia="仿宋_GB2312"/>
          <w:sz w:val="32"/>
          <w:szCs w:val="32"/>
        </w:rPr>
        <w:t>桂水水保</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eastAsia="方正小标宋简体"/>
          <w:spacing w:val="-30"/>
        </w:rPr>
      </w:pPr>
      <w:r>
        <w:rPr>
          <w:rFonts w:eastAsia="方正小标宋简体"/>
          <w:spacing w:val="-30"/>
          <w:sz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62230</wp:posOffset>
                </wp:positionV>
                <wp:extent cx="56769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769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4.9pt;height:0pt;width:447pt;z-index:251659264;mso-width-relative:page;mso-height-relative:page;" filled="f" stroked="t" coordsize="21600,21600" o:gfxdata="UEsDBAoAAAAAAIdO4kAAAAAAAAAAAAAAAAAEAAAAZHJzL1BLAwQUAAAACACHTuJAVL3+ZNUAAAAG&#10;AQAADwAAAGRycy9kb3ducmV2LnhtbE2PMU/DMBCFdyT+g3VIbK2TSoQ2jdMhEioDUtXAAJsbX5MI&#10;+xzFbhP+PQcLjJ/e07vvit3srLjiGHpPCtJlAgKp8aanVsHb69NiDSJETUZbT6jgCwPsytubQufG&#10;T3TEax1bwSMUcq2gi3HIpQxNh06HpR+QODv70enIOLbSjHricWflKkky6XRPfKHTA1YdNp/1xSl4&#10;P+wPw0tVZf75Yz/NbZbWx0er1P1dmmxBRJzjXxl+9FkdSnY6+QuZIKyCRfrATQUbfoDj9WbFfPpl&#10;WRbyv375DVBLAwQUAAAACACHTuJArUK91PcBAADlAwAADgAAAGRycy9lMm9Eb2MueG1srVPNjtMw&#10;EL4j8Q6W7zTpSlvYqOketpQLgkrAA0xtJ7HkP3ncpn0JXgCJG5w4cudtWB6DcdLtsruXHsjBGXvG&#10;38z3zXh+vbeG7VRE7V3Np5OSM+WEl9q1Nf/0cfXiFWeYwEkw3qmaHxTy68XzZ/M+VOrCd95IFRmB&#10;OKz6UPMupVAVBYpOWcCJD8qRs/HRQqJtbAsZoSd0a4qLspwVvY8yRC8UIp0uRyc/IsZzAH3TaKGW&#10;XmytcmlEjcpAIkrY6YB8MVTbNEqk902DKjFTc2KahpWSkL3Ja7GYQ9VGCJ0WxxLgnBIecbKgHSU9&#10;QS0hAdtG/QTKahE9+iZNhLfFSGRQhFhMy0fafOggqIELSY3hJDr+P1jxbreOTMuazzhzYKnht19+&#10;/v787c+vr7Te/vjOZlmkPmBFsTduHY87DOuYGe+baPOfuLD9IOzhJKzaJybo8HL2cnZVkubizlfc&#10;XwwR0xvlLctGzY12mTNUsHuLiZJR6F1IPjaO9TS3V+VlxgOawIY6T6YNxAJdO1xGb7RcaWPyFYzt&#10;5sZEtgOagtWqpC9zIuAHYTnLErAb4wbXOB+dAvnaSZYOgfRx9Cx4rsEqyZlR9IqyRYBQJdDmnEhK&#10;bRxVkGUdhczWxssDdWMbom47kmI6VJk91P2h3uOk5vH6dz8g3b/Ox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Uvf5k1QAAAAYBAAAPAAAAAAAAAAEAIAAAACIAAABkcnMvZG93bnJldi54bWxQSwEC&#10;FAAUAAAACACHTuJArUK91PcBAADlAwAADgAAAAAAAAABACAAAAAkAQAAZHJzL2Uyb0RvYy54bWxQ&#10;SwUGAAAAAAYABgBZAQAAjQU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eastAsia="华文中宋"/>
          <w:b/>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eastAsia="方正小标宋简体"/>
          <w:sz w:val="42"/>
          <w:szCs w:val="42"/>
        </w:rPr>
      </w:pPr>
      <w:r>
        <w:rPr>
          <w:rFonts w:hint="eastAsia" w:ascii="方正小标宋简体" w:eastAsia="方正小标宋简体"/>
          <w:sz w:val="42"/>
          <w:szCs w:val="42"/>
        </w:rPr>
        <w:t>自治区水利厅关于进一步加强我区生产建设项目水土保持方案技术评审工作的通知</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0" w:firstLineChars="0"/>
        <w:jc w:val="both"/>
        <w:textAlignment w:val="auto"/>
        <w:outlineLvl w:val="9"/>
        <w:rPr>
          <w:rFonts w:hint="default"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0" w:line="600" w:lineRule="exact"/>
        <w:ind w:left="0" w:leftChars="0" w:right="0" w:rightChars="0" w:firstLine="0" w:firstLineChars="0"/>
        <w:jc w:val="both"/>
        <w:textAlignment w:val="auto"/>
        <w:outlineLvl w:val="9"/>
        <w:rPr>
          <w:rFonts w:hint="default" w:ascii="Times New Roman" w:hAnsi="Times New Roman" w:eastAsia="仿宋_GB2312" w:cs="Times New Roman"/>
          <w:spacing w:val="0"/>
          <w:sz w:val="32"/>
          <w:szCs w:val="32"/>
        </w:rPr>
      </w:pPr>
      <w:r>
        <w:rPr>
          <w:rFonts w:hint="default" w:ascii="Times New Roman" w:hAnsi="Times New Roman" w:eastAsia="仿宋_GB2312" w:cs="Times New Roman"/>
          <w:sz w:val="32"/>
          <w:szCs w:val="32"/>
        </w:rPr>
        <w:t>各市水利局</w:t>
      </w:r>
      <w:r>
        <w:rPr>
          <w:rFonts w:hint="default" w:ascii="Times New Roman" w:hAnsi="Times New Roman" w:eastAsia="仿宋_GB2312" w:cs="Times New Roman"/>
          <w:spacing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为促进生产建设单位践行生态优先、绿色发展理念，深入贯彻落实国务院和自治区人民政府</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放管服</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改革精神，全面提高水土保持方案技术评审工作质量和效率，有效支撑水土保持方案行政许可，现就进一步加强我区生产建设项目水土保持方案技术评审工作通知如下。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一、严格水土保持方案技术评审标准和工作要求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eastAsia" w:ascii="楷体_GB2312" w:hAnsi="楷体_GB2312" w:eastAsia="楷体_GB2312" w:cs="楷体_GB2312"/>
          <w:b/>
          <w:bCs/>
          <w:sz w:val="32"/>
          <w:szCs w:val="32"/>
          <w:lang w:val="en-US" w:eastAsia="zh-CN"/>
        </w:rPr>
        <w:t>（一）技术评审依据和标准。</w:t>
      </w:r>
      <w:r>
        <w:rPr>
          <w:rFonts w:hint="default" w:ascii="Times New Roman" w:hAnsi="Times New Roman" w:eastAsia="仿宋_GB2312" w:cs="Times New Roman"/>
          <w:sz w:val="32"/>
          <w:szCs w:val="32"/>
          <w:lang w:val="en-US" w:eastAsia="zh-CN"/>
        </w:rPr>
        <w:t>技术评审应严格执行水土保持法律法规和《生产建设项目水土保持方案技术标准》（GB50433-2018）、《生产建设项目水土流失防治标准》</w:t>
      </w:r>
      <w:r>
        <w:rPr>
          <w:rFonts w:hint="default" w:ascii="Times New Roman" w:hAnsi="Times New Roman" w:eastAsia="仿宋_GB2312" w:cs="Times New Roman"/>
          <w:color w:val="auto"/>
          <w:sz w:val="32"/>
          <w:szCs w:val="32"/>
          <w:lang w:val="en-US" w:eastAsia="zh-CN"/>
        </w:rPr>
        <w:t>（GB/T50434-2018</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、《水土保持工程设计规范》（GB51018-2014</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生产建设项目水土保持监测与评价标准》（GB/T51240-2018）、《生产建设项目土壤流失量测算导则》（SL773-2018）等技术标准规范，确保评审结论客观公正、科学合理。水土保持方案存在《生产建设项目水土保持方案不予通过技术评审情形》（见附件1）其中之一的，一律不予通过技术评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楷体_GB2312" w:hAnsi="楷体_GB2312" w:eastAsia="楷体_GB2312" w:cs="楷体_GB2312"/>
          <w:b/>
          <w:bCs/>
          <w:color w:val="auto"/>
          <w:sz w:val="32"/>
          <w:szCs w:val="32"/>
          <w:lang w:val="en-US" w:eastAsia="zh-CN"/>
        </w:rPr>
        <w:t>（二）技术评审专家选取。</w:t>
      </w:r>
      <w:r>
        <w:rPr>
          <w:rFonts w:hint="default" w:ascii="Times New Roman" w:hAnsi="Times New Roman" w:eastAsia="仿宋_GB2312" w:cs="Times New Roman"/>
          <w:color w:val="auto"/>
          <w:sz w:val="32"/>
          <w:szCs w:val="32"/>
          <w:lang w:val="en-US" w:eastAsia="zh-CN"/>
        </w:rPr>
        <w:t>评审单位组织技术评审应邀请水土保持工程类、植物类、综合类和工程造价类等方面的专家参加，并根据专家专业特长进行合理分工。根据项目复杂程度，邀请评审专家数量一般为3～5名。生产建设项目水土保持方案评审专家可从上级和本级建立的专家库中选取，自治区立项由市级评审的生产建设项目至少选取一名自治区水利厅专家库专家。评审专家应具有高度责任心，熟悉项目所在区域自然环境状况，应避免在专业和领域上大跨度选用评审专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楷体_GB2312" w:hAnsi="楷体_GB2312" w:eastAsia="楷体_GB2312" w:cs="楷体_GB2312"/>
          <w:b/>
          <w:bCs/>
          <w:color w:val="auto"/>
          <w:sz w:val="32"/>
          <w:szCs w:val="32"/>
          <w:lang w:val="en-US" w:eastAsia="zh-CN"/>
        </w:rPr>
        <w:t>（三）技术评审程序。</w:t>
      </w:r>
      <w:r>
        <w:rPr>
          <w:rFonts w:hint="default" w:ascii="Times New Roman" w:hAnsi="Times New Roman" w:eastAsia="仿宋_GB2312" w:cs="Times New Roman"/>
          <w:color w:val="auto"/>
          <w:sz w:val="32"/>
          <w:szCs w:val="32"/>
          <w:lang w:val="en-US" w:eastAsia="zh-CN"/>
        </w:rPr>
        <w:t>技术评审单位接受水土保持方案技术评审任务后，应在2个工作日内提出评审工作方案，确定评审时间、地点、评审方式，拟定现场查勘地点、线路，选定评审专家并明确其专业及分工。委托中介服务机构评审的，评审工作方案须经委托单位审核确认。技术评审会议主要包括情况汇报、质询交流、专家评审等环节。技术评审单位一般应在会前组织专家开展现场查勘，地形条件简单、工程占地和土石方量较小的生产建设项目可通过方案编制单位提供的影像、视频资料了解现场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楷体_GB2312" w:hAnsi="楷体_GB2312" w:eastAsia="楷体_GB2312" w:cs="楷体_GB2312"/>
          <w:b/>
          <w:bCs/>
          <w:color w:val="auto"/>
          <w:sz w:val="32"/>
          <w:szCs w:val="32"/>
          <w:lang w:val="en-US" w:eastAsia="zh-CN"/>
        </w:rPr>
        <w:t>（四）技术评审重点。</w:t>
      </w:r>
      <w:r>
        <w:rPr>
          <w:rFonts w:hint="default" w:ascii="Times New Roman" w:hAnsi="Times New Roman" w:eastAsia="仿宋_GB2312" w:cs="Times New Roman"/>
          <w:b w:val="0"/>
          <w:bCs w:val="0"/>
          <w:color w:val="auto"/>
          <w:sz w:val="32"/>
          <w:szCs w:val="32"/>
          <w:lang w:val="en-US" w:eastAsia="zh-CN"/>
        </w:rPr>
        <w:t>技术评审</w:t>
      </w:r>
      <w:r>
        <w:rPr>
          <w:rFonts w:hint="default" w:ascii="Times New Roman" w:hAnsi="Times New Roman" w:eastAsia="仿宋_GB2312" w:cs="Times New Roman"/>
          <w:color w:val="auto"/>
          <w:sz w:val="32"/>
          <w:szCs w:val="32"/>
          <w:lang w:val="en-US" w:eastAsia="zh-CN"/>
        </w:rPr>
        <w:t>单位和专家重点评审内容：项目组成基本情况，土石方平衡及排弃的砂、石、土、矸石、尾矿、废渣等综合利用情况，表土资源剥离、保存和利用情况，取土场和弃渣场选址合理性，项目选址（选线）和建设方案水土保持评价，水土保持措施等级标准及分区布设情况，防治责任范围矢量图及水土保持措施典型布设图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val="0"/>
          <w:color w:val="auto"/>
          <w:sz w:val="32"/>
          <w:szCs w:val="32"/>
          <w:lang w:val="en-US" w:eastAsia="zh-CN"/>
        </w:rPr>
      </w:pPr>
      <w:r>
        <w:rPr>
          <w:rFonts w:hint="default" w:ascii="黑体" w:hAnsi="黑体" w:eastAsia="黑体" w:cs="黑体"/>
          <w:b w:val="0"/>
          <w:bCs w:val="0"/>
          <w:color w:val="auto"/>
          <w:sz w:val="32"/>
          <w:szCs w:val="32"/>
          <w:lang w:val="en-US" w:eastAsia="zh-CN"/>
        </w:rPr>
        <w:t>二、切实提高水土保持方案技术评审效率和质量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楷体_GB2312" w:hAnsi="楷体_GB2312" w:eastAsia="楷体_GB2312" w:cs="楷体_GB2312"/>
          <w:b/>
          <w:bCs/>
          <w:color w:val="auto"/>
          <w:sz w:val="32"/>
          <w:szCs w:val="32"/>
          <w:lang w:val="en-US" w:eastAsia="zh-CN"/>
        </w:rPr>
        <w:t>（一）全面实行</w:t>
      </w:r>
      <w:r>
        <w:rPr>
          <w:rFonts w:hint="eastAsia" w:ascii="楷体_GB2312" w:hAnsi="楷体_GB2312" w:eastAsia="楷体_GB2312" w:cs="楷体_GB2312"/>
          <w:b/>
          <w:bCs/>
          <w:color w:val="auto"/>
          <w:sz w:val="32"/>
          <w:szCs w:val="32"/>
          <w:lang w:val="en-US" w:eastAsia="zh-CN"/>
        </w:rPr>
        <w:t>“</w:t>
      </w:r>
      <w:r>
        <w:rPr>
          <w:rFonts w:hint="default" w:ascii="楷体_GB2312" w:hAnsi="楷体_GB2312" w:eastAsia="楷体_GB2312" w:cs="楷体_GB2312"/>
          <w:b/>
          <w:bCs/>
          <w:color w:val="auto"/>
          <w:sz w:val="32"/>
          <w:szCs w:val="32"/>
          <w:lang w:val="en-US" w:eastAsia="zh-CN"/>
        </w:rPr>
        <w:t>一稿制</w:t>
      </w:r>
      <w:r>
        <w:rPr>
          <w:rFonts w:hint="eastAsia" w:ascii="楷体_GB2312" w:hAnsi="楷体_GB2312" w:eastAsia="楷体_GB2312" w:cs="楷体_GB2312"/>
          <w:b/>
          <w:bCs/>
          <w:color w:val="auto"/>
          <w:sz w:val="32"/>
          <w:szCs w:val="32"/>
          <w:lang w:val="en-US" w:eastAsia="zh-CN"/>
        </w:rPr>
        <w:t>”</w:t>
      </w:r>
      <w:r>
        <w:rPr>
          <w:rFonts w:hint="default" w:ascii="楷体_GB2312" w:hAnsi="楷体_GB2312" w:eastAsia="楷体_GB2312" w:cs="楷体_GB2312"/>
          <w:b/>
          <w:bCs/>
          <w:color w:val="auto"/>
          <w:sz w:val="32"/>
          <w:szCs w:val="32"/>
          <w:lang w:val="en-US" w:eastAsia="zh-CN"/>
        </w:rPr>
        <w:t>。</w:t>
      </w:r>
      <w:r>
        <w:rPr>
          <w:rFonts w:hint="default" w:ascii="Times New Roman" w:hAnsi="Times New Roman" w:eastAsia="仿宋_GB2312" w:cs="Times New Roman"/>
          <w:color w:val="auto"/>
          <w:sz w:val="32"/>
          <w:szCs w:val="32"/>
          <w:lang w:val="en-US" w:eastAsia="zh-CN"/>
        </w:rPr>
        <w:t>水土保持方案技术评审实行</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一稿制</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，即水土保持方案报告书不再区分送审稿和报批稿。水土保持方案报告书经会议评审后，通过评审的，应在</w:t>
      </w:r>
      <w:r>
        <w:rPr>
          <w:rFonts w:hint="default" w:ascii="Times New Roman" w:hAnsi="Times New Roman" w:eastAsia="仿宋_GB2312" w:cs="Times New Roman"/>
          <w:color w:val="auto"/>
          <w:sz w:val="32"/>
          <w:szCs w:val="32"/>
          <w:lang w:val="en-US" w:eastAsia="zh-CN"/>
        </w:rPr>
        <w:t>10个工作日内修改完善，逾期未修改完善的，按不予通过技术评审处理。未通过技术评审的水土保持方案报告书，专家组提出修改意见，由技术评审单位印发项目建设单位和方案编制单位。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楷体_GB2312" w:hAnsi="楷体_GB2312" w:eastAsia="楷体_GB2312" w:cs="楷体_GB2312"/>
          <w:b/>
          <w:bCs/>
          <w:color w:val="auto"/>
          <w:sz w:val="32"/>
          <w:szCs w:val="32"/>
          <w:lang w:val="en-US" w:eastAsia="zh-CN"/>
        </w:rPr>
        <w:t>（二）严格取土场、弃渣场选址变更时限。</w:t>
      </w:r>
      <w:r>
        <w:rPr>
          <w:rFonts w:hint="default" w:ascii="Times New Roman" w:hAnsi="Times New Roman" w:eastAsia="仿宋_GB2312" w:cs="Times New Roman"/>
          <w:b w:val="0"/>
          <w:bCs w:val="0"/>
          <w:color w:val="auto"/>
          <w:sz w:val="32"/>
          <w:szCs w:val="32"/>
          <w:lang w:val="en-US" w:eastAsia="zh-CN"/>
        </w:rPr>
        <w:t>取土场、弃渣场选址发生变更的，应于发生变更的当年编制完成取土场、弃渣场变更水土保持方案补充报告书，并送原水土保持方案审批部门审查批准，逾期送审的，一律不予受理。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val="0"/>
          <w:color w:val="auto"/>
          <w:sz w:val="32"/>
          <w:szCs w:val="32"/>
          <w:lang w:val="en-US" w:eastAsia="zh-CN"/>
        </w:rPr>
      </w:pPr>
      <w:r>
        <w:rPr>
          <w:rFonts w:hint="default" w:ascii="黑体" w:hAnsi="黑体" w:eastAsia="黑体" w:cs="黑体"/>
          <w:b w:val="0"/>
          <w:bCs w:val="0"/>
          <w:color w:val="auto"/>
          <w:sz w:val="32"/>
          <w:szCs w:val="32"/>
          <w:lang w:val="en-US" w:eastAsia="zh-CN"/>
        </w:rPr>
        <w:t>三、强化水土保持方案编制单位、编制人员和评审专家监管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楷体_GB2312" w:hAnsi="楷体_GB2312" w:eastAsia="楷体_GB2312" w:cs="楷体_GB2312"/>
          <w:b/>
          <w:bCs/>
          <w:color w:val="auto"/>
          <w:sz w:val="32"/>
          <w:szCs w:val="32"/>
          <w:lang w:val="en-US" w:eastAsia="zh-CN"/>
        </w:rPr>
        <w:t>（一）严格方案编制单位、编制人员监管。</w:t>
      </w:r>
      <w:r>
        <w:rPr>
          <w:rFonts w:hint="default" w:ascii="Times New Roman" w:hAnsi="Times New Roman" w:eastAsia="仿宋_GB2312" w:cs="Times New Roman"/>
          <w:color w:val="auto"/>
          <w:sz w:val="32"/>
          <w:szCs w:val="32"/>
          <w:lang w:val="en-US" w:eastAsia="zh-CN"/>
        </w:rPr>
        <w:t>自治区每年对各级水土保持方案技术评审情况进行抽查，水土保持方案存在附件1所列情形的，对方案编制单位、编制人员按照</w:t>
      </w:r>
      <w:r>
        <w:rPr>
          <w:rFonts w:hint="default" w:ascii="Times New Roman" w:hAnsi="Times New Roman" w:eastAsia="仿宋_GB2312" w:cs="Times New Roman"/>
          <w:color w:val="auto"/>
          <w:sz w:val="32"/>
          <w:szCs w:val="32"/>
        </w:rPr>
        <w:t>《水利部办公厅关于实施生产建设项目水土保持信用监管</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两单</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制度的通知》</w:t>
      </w:r>
      <w:r>
        <w:rPr>
          <w:rFonts w:hint="default" w:ascii="Times New Roman" w:hAnsi="Times New Roman" w:eastAsia="仿宋_GB2312" w:cs="Times New Roman"/>
          <w:color w:val="auto"/>
          <w:sz w:val="32"/>
          <w:szCs w:val="32"/>
        </w:rPr>
        <w:t>（办水保〔2020〕157号）</w:t>
      </w:r>
      <w:r>
        <w:rPr>
          <w:rFonts w:hint="default" w:ascii="Times New Roman" w:hAnsi="Times New Roman" w:eastAsia="仿宋_GB2312" w:cs="Times New Roman"/>
          <w:color w:val="auto"/>
          <w:sz w:val="32"/>
          <w:szCs w:val="32"/>
          <w:lang w:eastAsia="zh-CN"/>
        </w:rPr>
        <w:t>实施严格</w:t>
      </w:r>
      <w:r>
        <w:rPr>
          <w:rFonts w:hint="default" w:ascii="Times New Roman" w:hAnsi="Times New Roman" w:eastAsia="仿宋_GB2312" w:cs="Times New Roman"/>
          <w:color w:val="auto"/>
          <w:sz w:val="32"/>
          <w:szCs w:val="32"/>
        </w:rPr>
        <w:t>监管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并将结果予以公布。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各级水土保持方案技术评审单位应对本级未予通过技术评审的水土保持方案及其编制单位、编制人员进行统计。各市于每年6月30日、12月30日将统计结果报送自治区水土保持监测站。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2" w:firstLineChars="175"/>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楷体_GB2312" w:hAnsi="楷体_GB2312" w:eastAsia="楷体_GB2312" w:cs="楷体_GB2312"/>
          <w:b/>
          <w:bCs/>
          <w:color w:val="auto"/>
          <w:sz w:val="32"/>
          <w:szCs w:val="32"/>
          <w:lang w:val="en-US" w:eastAsia="zh-CN"/>
        </w:rPr>
        <w:t>（二）加强评审专家培训和管理。</w:t>
      </w:r>
      <w:r>
        <w:rPr>
          <w:rFonts w:hint="default" w:ascii="Times New Roman" w:hAnsi="Times New Roman" w:eastAsia="仿宋_GB2312" w:cs="Times New Roman"/>
          <w:color w:val="auto"/>
          <w:sz w:val="32"/>
          <w:szCs w:val="32"/>
          <w:lang w:val="en-US" w:eastAsia="zh-CN"/>
        </w:rPr>
        <w:t>自治区水土保持监测站应组织水土保持技术评审专家培训，跟进学习水土保持管理新规定、新技术标准，提高专家把关意识和专家意见质量。各级技术评审单位应记录专家参与评审工作情况，结合每年水土保持方案技术评审质量抽查情况，按照《生产建设项目水土保持方案技术评审专家考评要点》（见附件2）对评审专家进行年度考评，各级水土保持管理机构应将本级评审专家考评结果进行统计。各市于每年12月30日将统计结果报送自治区水土保持监测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val="0"/>
          <w:color w:val="auto"/>
          <w:sz w:val="32"/>
          <w:szCs w:val="32"/>
          <w:lang w:val="en-US" w:eastAsia="zh-CN"/>
        </w:rPr>
      </w:pPr>
      <w:r>
        <w:rPr>
          <w:rFonts w:hint="default" w:ascii="黑体" w:hAnsi="黑体" w:eastAsia="黑体" w:cs="黑体"/>
          <w:b w:val="0"/>
          <w:bCs w:val="0"/>
          <w:color w:val="auto"/>
          <w:sz w:val="32"/>
          <w:szCs w:val="32"/>
          <w:lang w:val="en-US" w:eastAsia="zh-CN"/>
        </w:rPr>
        <w:t>四、水土保持方案技术评审廉洁要求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参加水土保持方案技术评审人员（含各级水行政主管部门或方案审批部门人员、组织技术评审单位人员、评审中介服务机构人员、评审专家），不得在生产建设单位或方案编制单位报销任何费用或索要收受咨询费、专家费、有价卡券及礼品、土特产等，不得参加用公款支付的旅游、营业性娱乐消费活动，不得有妨碍技术评审工作公平、公正、公开的行为和违反中央</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八项规定</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的行为等；建设单位、方案编制单位不得以任何方式向上述参会人员给付任何财物及其他好处。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color w:val="auto"/>
          <w:sz w:val="32"/>
          <w:szCs w:val="32"/>
          <w:lang w:val="en-US" w:eastAsia="zh-CN"/>
        </w:rPr>
        <w:t>附件：</w:t>
      </w:r>
      <w:r>
        <w:rPr>
          <w:rFonts w:hint="default"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val="0"/>
          <w:bCs w:val="0"/>
          <w:color w:val="auto"/>
          <w:sz w:val="32"/>
          <w:szCs w:val="32"/>
          <w:lang w:val="en-US" w:eastAsia="zh-CN"/>
        </w:rPr>
        <w:t xml:space="preserve"> </w:t>
      </w:r>
      <w:r>
        <w:rPr>
          <w:rFonts w:hint="default" w:ascii="Times New Roman" w:hAnsi="Times New Roman" w:eastAsia="仿宋_GB2312" w:cs="Times New Roman"/>
          <w:b w:val="0"/>
          <w:bCs w:val="0"/>
          <w:color w:val="auto"/>
          <w:sz w:val="32"/>
          <w:szCs w:val="32"/>
          <w:lang w:val="en-US" w:eastAsia="zh-CN"/>
        </w:rPr>
        <w:t>生产建设项目水土保持方案技术评审不予通过情形</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1488" w:firstLineChars="465"/>
        <w:jc w:val="both"/>
        <w:textAlignment w:val="auto"/>
        <w:outlineLvl w:val="9"/>
        <w:rPr>
          <w:rFonts w:hint="default" w:ascii="Times New Roman" w:hAnsi="Times New Roman" w:eastAsia="仿宋_GB2312" w:cs="Times New Roman"/>
          <w:b/>
          <w:bCs/>
          <w:color w:val="auto"/>
          <w:spacing w:val="-6"/>
          <w:sz w:val="32"/>
          <w:szCs w:val="32"/>
          <w:lang w:val="en-US" w:eastAsia="zh-CN"/>
        </w:rPr>
      </w:pPr>
      <w:r>
        <w:rPr>
          <w:rFonts w:hint="default"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val="0"/>
          <w:bCs w:val="0"/>
          <w:color w:val="auto"/>
          <w:sz w:val="32"/>
          <w:szCs w:val="32"/>
          <w:lang w:val="en-US" w:eastAsia="zh-CN"/>
        </w:rPr>
        <w:t xml:space="preserve"> </w:t>
      </w:r>
      <w:r>
        <w:rPr>
          <w:rFonts w:hint="default" w:ascii="Times New Roman" w:hAnsi="Times New Roman" w:eastAsia="仿宋_GB2312" w:cs="Times New Roman"/>
          <w:b w:val="0"/>
          <w:bCs w:val="0"/>
          <w:color w:val="auto"/>
          <w:spacing w:val="-6"/>
          <w:sz w:val="32"/>
          <w:szCs w:val="32"/>
          <w:lang w:val="en-US" w:eastAsia="zh-CN"/>
        </w:rPr>
        <w:t>生产建设项目水土保持方案技术评审专家考评要点</w:t>
      </w: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4800" w:firstLineChars="15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4800" w:firstLineChars="1500"/>
        <w:jc w:val="both"/>
        <w:textAlignment w:val="auto"/>
        <w:outlineLvl w:val="9"/>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4800" w:firstLineChars="1500"/>
        <w:jc w:val="both"/>
        <w:textAlignment w:val="auto"/>
        <w:outlineLvl w:val="9"/>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4800" w:firstLineChars="1500"/>
        <w:jc w:val="both"/>
        <w:textAlignment w:val="auto"/>
        <w:outlineLvl w:val="9"/>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4736" w:firstLineChars="148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广西壮族自治区水利厅</w:t>
      </w: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rightChars="0" w:firstLine="5020" w:firstLineChars="1569"/>
        <w:jc w:val="both"/>
        <w:textAlignment w:val="auto"/>
        <w:outlineLvl w:val="9"/>
        <w:rPr>
          <w:rFonts w:hint="default" w:ascii="Times New Roman" w:hAnsi="Times New Roman" w:cs="Times New Roman"/>
          <w:color w:val="auto"/>
          <w:sz w:val="32"/>
          <w:szCs w:val="32"/>
          <w:lang w:val="en-US" w:eastAsia="zh-CN"/>
        </w:rPr>
      </w:pP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23</w:t>
      </w:r>
      <w:r>
        <w:rPr>
          <w:rFonts w:hint="default" w:ascii="Times New Roman" w:hAnsi="Times New Roman" w:eastAsia="仿宋_GB2312" w:cs="Times New Roman"/>
          <w:color w:val="auto"/>
          <w:sz w:val="32"/>
          <w:szCs w:val="32"/>
        </w:rPr>
        <w:t>日</w:t>
      </w:r>
    </w:p>
    <w:p>
      <w:pPr>
        <w:pStyle w:val="8"/>
        <w:keepNext w:val="0"/>
        <w:keepLines w:val="0"/>
        <w:pageBreakBefore w:val="0"/>
        <w:widowControl/>
        <w:kinsoku/>
        <w:wordWrap/>
        <w:overflowPunct/>
        <w:topLinePunct w:val="0"/>
        <w:autoSpaceDE/>
        <w:autoSpaceDN/>
        <w:bidi w:val="0"/>
        <w:adjustRightInd w:val="0"/>
        <w:snapToGrid/>
        <w:spacing w:before="157" w:beforeLines="50" w:beforeAutospacing="0" w:after="0" w:afterAutospacing="0" w:line="600" w:lineRule="exact"/>
        <w:ind w:left="0" w:leftChars="0" w:right="0" w:rightChars="0" w:firstLine="640" w:firstLineChars="200"/>
        <w:jc w:val="both"/>
        <w:textAlignment w:val="auto"/>
        <w:outlineLvl w:val="9"/>
        <w:rPr>
          <w:rStyle w:val="9"/>
          <w:rFonts w:hint="eastAsia" w:ascii="Times New Roman" w:hAnsi="Times New Roman" w:eastAsia="仿宋_GB2312" w:cs="Times New Roman"/>
          <w:color w:val="auto"/>
          <w:sz w:val="32"/>
          <w:szCs w:val="32"/>
          <w:lang w:eastAsia="zh-CN"/>
        </w:rPr>
      </w:pPr>
      <w:r>
        <w:rPr>
          <w:rStyle w:val="9"/>
          <w:rFonts w:hint="eastAsia" w:ascii="Times New Roman" w:hAnsi="Times New Roman" w:eastAsia="仿宋_GB2312" w:cs="Times New Roman"/>
          <w:color w:val="auto"/>
          <w:sz w:val="32"/>
          <w:szCs w:val="32"/>
          <w:lang w:eastAsia="zh-CN"/>
        </w:rPr>
        <w:t>（</w:t>
      </w:r>
      <w:r>
        <w:rPr>
          <w:rStyle w:val="9"/>
          <w:rFonts w:hint="eastAsia" w:ascii="Times New Roman" w:hAnsi="Times New Roman" w:eastAsia="仿宋_GB2312" w:cs="Times New Roman"/>
          <w:color w:val="auto"/>
          <w:sz w:val="32"/>
          <w:szCs w:val="32"/>
          <w:lang w:val="en-US" w:eastAsia="zh-CN"/>
        </w:rPr>
        <w:t>此件公开发布</w:t>
      </w:r>
      <w:r>
        <w:rPr>
          <w:rStyle w:val="9"/>
          <w:rFonts w:hint="eastAsia" w:ascii="Times New Roman" w:hAnsi="Times New Roman" w:eastAsia="仿宋_GB2312"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outlineLvl w:val="9"/>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default" w:ascii="黑体" w:hAnsi="黑体" w:eastAsia="黑体" w:cs="黑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42"/>
          <w:szCs w:val="42"/>
          <w:lang w:val="en-US" w:eastAsia="zh-CN"/>
        </w:rPr>
      </w:pPr>
      <w:r>
        <w:rPr>
          <w:rFonts w:hint="eastAsia" w:ascii="方正小标宋简体" w:hAnsi="方正小标宋简体" w:eastAsia="方正小标宋简体" w:cs="方正小标宋简体"/>
          <w:b w:val="0"/>
          <w:bCs w:val="0"/>
          <w:color w:val="auto"/>
          <w:sz w:val="42"/>
          <w:szCs w:val="42"/>
          <w:lang w:val="en-US" w:eastAsia="zh-CN"/>
        </w:rPr>
        <w:t>生产建设项目水土保持方案技术评审</w:t>
      </w:r>
    </w:p>
    <w:p>
      <w:pPr>
        <w:keepNext w:val="0"/>
        <w:keepLines w:val="0"/>
        <w:pageBreakBefore w:val="0"/>
        <w:widowControl w:val="0"/>
        <w:numPr>
          <w:ilvl w:val="0"/>
          <w:numId w:val="0"/>
        </w:numPr>
        <w:kinsoku/>
        <w:wordWrap/>
        <w:overflowPunct/>
        <w:topLinePunct w:val="0"/>
        <w:autoSpaceDE/>
        <w:autoSpaceDN/>
        <w:bidi w:val="0"/>
        <w:adjustRightInd w:val="0"/>
        <w:snapToGrid w:val="0"/>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42"/>
          <w:szCs w:val="42"/>
          <w:lang w:val="en-US" w:eastAsia="zh-CN"/>
        </w:rPr>
      </w:pPr>
      <w:r>
        <w:rPr>
          <w:rFonts w:hint="eastAsia" w:ascii="方正小标宋简体" w:hAnsi="方正小标宋简体" w:eastAsia="方正小标宋简体" w:cs="方正小标宋简体"/>
          <w:b w:val="0"/>
          <w:bCs w:val="0"/>
          <w:color w:val="auto"/>
          <w:sz w:val="42"/>
          <w:szCs w:val="42"/>
          <w:lang w:val="en-US" w:eastAsia="zh-CN"/>
        </w:rPr>
        <w:t>不予通过情形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黑体" w:hAnsi="黑体" w:eastAsia="黑体" w:cs="黑体"/>
          <w:b w:val="0"/>
          <w:bCs w:val="0"/>
          <w:color w:val="auto"/>
          <w:sz w:val="32"/>
        </w:rPr>
      </w:pPr>
      <w:r>
        <w:rPr>
          <w:rFonts w:hint="eastAsia" w:ascii="黑体" w:hAnsi="黑体" w:eastAsia="黑体" w:cs="黑体"/>
          <w:b w:val="0"/>
          <w:bCs w:val="0"/>
          <w:color w:val="auto"/>
          <w:sz w:val="32"/>
          <w:lang w:eastAsia="zh-CN"/>
        </w:rPr>
        <w:t>水土保持方案报告书存在下列情形之一的，不予通过技术评审</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ascii="仿宋_GB2312" w:hAnsi="仿宋_GB2312" w:eastAsia="仿宋_GB2312"/>
          <w:color w:val="auto"/>
          <w:sz w:val="32"/>
        </w:rPr>
      </w:pPr>
      <w:r>
        <w:rPr>
          <w:rFonts w:hint="eastAsia" w:ascii="仿宋_GB2312" w:hAnsi="仿宋_GB2312" w:eastAsia="仿宋_GB2312"/>
          <w:color w:val="auto"/>
          <w:sz w:val="32"/>
          <w:lang w:eastAsia="zh-CN"/>
        </w:rPr>
        <w:t>不符合水土保持法律法规规章、标准规范及有关文件规定的；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auto"/>
          <w:sz w:val="32"/>
        </w:rPr>
      </w:pPr>
      <w:r>
        <w:rPr>
          <w:rFonts w:hint="eastAsia" w:ascii="仿宋_GB2312" w:hAnsi="仿宋_GB2312" w:eastAsia="仿宋_GB2312"/>
          <w:color w:val="auto"/>
          <w:sz w:val="32"/>
        </w:rPr>
        <w:t>涉及饮用水水源保护区、自然保护区、世界文化和自然遗产地、风景名胜区、国家公园、地质公园、森林公园、重要湿地等生态保护红线，不</w:t>
      </w:r>
      <w:r>
        <w:rPr>
          <w:rFonts w:hint="eastAsia" w:ascii="仿宋_GB2312" w:hAnsi="仿宋_GB2312" w:eastAsia="仿宋_GB2312"/>
          <w:color w:val="auto"/>
          <w:sz w:val="32"/>
          <w:lang w:eastAsia="zh-CN"/>
        </w:rPr>
        <w:t>符合</w:t>
      </w:r>
      <w:r>
        <w:rPr>
          <w:rFonts w:hint="eastAsia" w:ascii="仿宋_GB2312" w:hAnsi="仿宋_GB2312" w:eastAsia="仿宋_GB2312"/>
          <w:color w:val="auto"/>
          <w:sz w:val="32"/>
        </w:rPr>
        <w:t>相关法律法规规定的</w:t>
      </w:r>
      <w:r>
        <w:rPr>
          <w:rFonts w:hint="eastAsia" w:ascii="仿宋_GB2312" w:hAnsi="仿宋_GB2312" w:eastAsia="仿宋_GB2312"/>
          <w:color w:val="auto"/>
          <w:sz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auto"/>
          <w:sz w:val="32"/>
        </w:rPr>
      </w:pPr>
      <w:r>
        <w:rPr>
          <w:rFonts w:hint="eastAsia" w:ascii="仿宋_GB2312" w:hAnsi="仿宋_GB2312" w:eastAsia="仿宋_GB2312"/>
          <w:color w:val="auto"/>
          <w:sz w:val="32"/>
        </w:rPr>
        <w:t>选址</w:t>
      </w:r>
      <w:r>
        <w:rPr>
          <w:rFonts w:hint="eastAsia" w:ascii="仿宋_GB2312" w:hAnsi="仿宋_GB2312" w:eastAsia="仿宋_GB2312"/>
          <w:color w:val="auto"/>
          <w:sz w:val="32"/>
          <w:lang w:eastAsia="zh-CN"/>
        </w:rPr>
        <w:t>（线）涉及水土流失重点防治区</w:t>
      </w:r>
      <w:r>
        <w:rPr>
          <w:rFonts w:hint="eastAsia" w:ascii="仿宋_GB2312" w:hAnsi="仿宋_GB2312" w:eastAsia="仿宋_GB2312"/>
          <w:color w:val="auto"/>
          <w:sz w:val="32"/>
        </w:rPr>
        <w:t>，</w:t>
      </w:r>
      <w:r>
        <w:rPr>
          <w:rFonts w:hint="eastAsia" w:ascii="仿宋_GB2312" w:hAnsi="仿宋_GB2312" w:eastAsia="仿宋_GB2312"/>
          <w:color w:val="auto"/>
          <w:sz w:val="32"/>
          <w:lang w:eastAsia="zh-CN"/>
        </w:rPr>
        <w:t>但未提高水土</w:t>
      </w:r>
      <w:bookmarkStart w:id="0" w:name="_GoBack"/>
      <w:bookmarkEnd w:id="0"/>
      <w:r>
        <w:rPr>
          <w:rFonts w:hint="eastAsia" w:ascii="仿宋_GB2312" w:hAnsi="仿宋_GB2312" w:eastAsia="仿宋_GB2312"/>
          <w:color w:val="auto"/>
          <w:sz w:val="32"/>
          <w:lang w:eastAsia="zh-CN"/>
        </w:rPr>
        <w:t>流失防治标准或者未按提高后的水土流失防治标准布设水土保持措施</w:t>
      </w:r>
      <w:r>
        <w:rPr>
          <w:rFonts w:hint="eastAsia" w:ascii="仿宋_GB2312" w:hAnsi="仿宋_GB2312" w:eastAsia="仿宋_GB2312"/>
          <w:color w:val="auto"/>
          <w:sz w:val="32"/>
        </w:rPr>
        <w:t>的</w:t>
      </w:r>
      <w:r>
        <w:rPr>
          <w:rFonts w:hint="eastAsia" w:ascii="仿宋_GB2312" w:hAnsi="仿宋_GB2312" w:eastAsia="仿宋_GB2312"/>
          <w:color w:val="auto"/>
          <w:sz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auto"/>
          <w:sz w:val="32"/>
        </w:rPr>
      </w:pPr>
      <w:r>
        <w:rPr>
          <w:rFonts w:hint="eastAsia" w:ascii="仿宋_GB2312" w:hAnsi="仿宋_GB2312" w:eastAsia="仿宋_GB2312"/>
          <w:color w:val="auto"/>
          <w:sz w:val="32"/>
          <w:lang w:eastAsia="zh-CN"/>
        </w:rPr>
        <w:t>主体工程布局或施工方案存在大量借方的同时又存在大量弃方，且无充分理由的；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auto"/>
          <w:sz w:val="32"/>
        </w:rPr>
      </w:pPr>
      <w:r>
        <w:rPr>
          <w:rFonts w:hint="eastAsia" w:ascii="仿宋_GB2312" w:hAnsi="仿宋_GB2312" w:eastAsia="仿宋_GB2312"/>
          <w:color w:val="auto"/>
          <w:sz w:val="32"/>
        </w:rPr>
        <w:t>水土流失防治目标</w:t>
      </w:r>
      <w:r>
        <w:rPr>
          <w:rFonts w:hint="eastAsia" w:ascii="仿宋_GB2312" w:hAnsi="仿宋_GB2312" w:eastAsia="仿宋_GB2312"/>
          <w:color w:val="auto"/>
          <w:sz w:val="32"/>
          <w:lang w:eastAsia="zh-CN"/>
        </w:rPr>
        <w:t>、水土流失防治责任范围不合理的；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auto"/>
          <w:sz w:val="32"/>
        </w:rPr>
      </w:pPr>
      <w:r>
        <w:rPr>
          <w:rFonts w:hint="eastAsia" w:ascii="仿宋_GB2312" w:hAnsi="仿宋_GB2312" w:eastAsia="仿宋_GB2312"/>
          <w:color w:val="auto"/>
          <w:sz w:val="32"/>
          <w:lang w:eastAsia="zh-CN"/>
        </w:rPr>
        <w:t>弃土弃渣未开展综合利用调查或者综合利用方案无法落实的；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auto"/>
          <w:sz w:val="32"/>
        </w:rPr>
      </w:pPr>
      <w:r>
        <w:rPr>
          <w:rFonts w:hint="eastAsia" w:ascii="仿宋_GB2312" w:hAnsi="仿宋_GB2312" w:eastAsia="仿宋_GB2312"/>
          <w:color w:val="auto"/>
          <w:sz w:val="32"/>
          <w:lang w:eastAsia="zh-CN"/>
        </w:rPr>
        <w:t>弃土弃渣位置不明确、选址或者堆渣方案不合理</w:t>
      </w:r>
      <w:r>
        <w:rPr>
          <w:rFonts w:hint="eastAsia" w:ascii="仿宋_GB2312" w:hAnsi="仿宋_GB2312" w:eastAsia="仿宋_GB2312"/>
          <w:color w:val="auto"/>
          <w:sz w:val="32"/>
        </w:rPr>
        <w:t>的</w:t>
      </w:r>
      <w:r>
        <w:rPr>
          <w:rFonts w:hint="eastAsia" w:ascii="仿宋_GB2312" w:hAnsi="仿宋_GB2312" w:eastAsia="仿宋_GB2312"/>
          <w:color w:val="auto"/>
          <w:sz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39" w:firstLineChars="175"/>
        <w:jc w:val="both"/>
        <w:textAlignment w:val="auto"/>
        <w:outlineLvl w:val="9"/>
        <w:rPr>
          <w:rFonts w:hint="eastAsia" w:ascii="仿宋_GB2312" w:hAnsi="仿宋_GB2312" w:eastAsia="仿宋_GB2312"/>
          <w:color w:val="auto"/>
          <w:spacing w:val="-6"/>
          <w:sz w:val="32"/>
        </w:rPr>
      </w:pPr>
      <w:r>
        <w:rPr>
          <w:rFonts w:hint="eastAsia" w:ascii="仿宋_GB2312" w:hAnsi="仿宋_GB2312" w:eastAsia="仿宋_GB2312"/>
          <w:color w:val="auto"/>
          <w:spacing w:val="-6"/>
          <w:sz w:val="32"/>
          <w:lang w:eastAsia="zh-CN"/>
        </w:rPr>
        <w:t>土石方借方来源未落实或者取土场取料场设置不合理</w:t>
      </w:r>
      <w:r>
        <w:rPr>
          <w:rFonts w:hint="eastAsia" w:ascii="仿宋_GB2312" w:hAnsi="仿宋_GB2312" w:eastAsia="仿宋_GB2312"/>
          <w:color w:val="auto"/>
          <w:spacing w:val="-6"/>
          <w:sz w:val="32"/>
        </w:rPr>
        <w:t>的</w:t>
      </w:r>
      <w:r>
        <w:rPr>
          <w:rFonts w:hint="eastAsia" w:ascii="仿宋_GB2312" w:hAnsi="仿宋_GB2312" w:eastAsia="仿宋_GB2312"/>
          <w:color w:val="auto"/>
          <w:spacing w:val="-6"/>
          <w:sz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auto"/>
          <w:sz w:val="32"/>
          <w:lang w:val="en-US" w:eastAsia="zh-CN"/>
        </w:rPr>
      </w:pPr>
      <w:r>
        <w:rPr>
          <w:rFonts w:hint="eastAsia" w:ascii="仿宋_GB2312" w:hAnsi="仿宋_GB2312" w:eastAsia="仿宋_GB2312"/>
          <w:color w:val="auto"/>
          <w:sz w:val="32"/>
        </w:rPr>
        <w:t>表土</w:t>
      </w:r>
      <w:r>
        <w:rPr>
          <w:rFonts w:hint="eastAsia" w:ascii="仿宋_GB2312" w:hAnsi="仿宋_GB2312" w:eastAsia="仿宋_GB2312"/>
          <w:color w:val="auto"/>
          <w:sz w:val="32"/>
          <w:lang w:eastAsia="zh-CN"/>
        </w:rPr>
        <w:t>资源调查不明确或表土保护措施</w:t>
      </w:r>
      <w:r>
        <w:rPr>
          <w:rFonts w:hint="eastAsia" w:ascii="仿宋_GB2312" w:hAnsi="仿宋_GB2312" w:eastAsia="仿宋_GB2312"/>
          <w:color w:val="auto"/>
          <w:sz w:val="32"/>
        </w:rPr>
        <w:t>不合理的</w:t>
      </w:r>
      <w:r>
        <w:rPr>
          <w:rFonts w:hint="eastAsia" w:ascii="仿宋_GB2312" w:hAnsi="仿宋_GB2312" w:eastAsia="仿宋_GB2312"/>
          <w:color w:val="auto"/>
          <w:sz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000000" w:themeColor="text1"/>
          <w:sz w:val="32"/>
          <w14:textFill>
            <w14:solidFill>
              <w14:schemeClr w14:val="tx1"/>
            </w14:solidFill>
          </w14:textFill>
        </w:rPr>
      </w:pPr>
      <w:r>
        <w:rPr>
          <w:rFonts w:hint="eastAsia" w:ascii="仿宋_GB2312" w:hAnsi="仿宋_GB2312" w:eastAsia="仿宋_GB2312"/>
          <w:color w:val="auto"/>
          <w:sz w:val="32"/>
        </w:rPr>
        <w:t>水土保持措施体系不完整</w:t>
      </w:r>
      <w:r>
        <w:rPr>
          <w:rFonts w:hint="eastAsia" w:ascii="仿宋_GB2312" w:hAnsi="仿宋_GB2312" w:eastAsia="仿宋_GB2312"/>
          <w:color w:val="auto"/>
          <w:sz w:val="32"/>
          <w:lang w:eastAsia="zh-CN"/>
        </w:rPr>
        <w:t>，措施等级标准</w:t>
      </w:r>
      <w:r>
        <w:rPr>
          <w:rFonts w:hint="eastAsia" w:ascii="仿宋_GB2312" w:hAnsi="仿宋_GB2312" w:eastAsia="仿宋_GB2312"/>
          <w:color w:val="000000" w:themeColor="text1"/>
          <w:sz w:val="32"/>
          <w:lang w:eastAsia="zh-CN"/>
          <w14:textFill>
            <w14:solidFill>
              <w14:schemeClr w14:val="tx1"/>
            </w14:solidFill>
          </w14:textFill>
        </w:rPr>
        <w:t>不合理或者不能满足水土流失防治要求的；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水土保持</w:t>
      </w:r>
      <w:r>
        <w:rPr>
          <w:rFonts w:hint="eastAsia" w:ascii="仿宋_GB2312" w:hAnsi="仿宋_GB2312" w:eastAsia="仿宋_GB2312"/>
          <w:color w:val="000000" w:themeColor="text1"/>
          <w:sz w:val="32"/>
          <w:lang w:eastAsia="zh-CN"/>
          <w14:textFill>
            <w14:solidFill>
              <w14:schemeClr w14:val="tx1"/>
            </w14:solidFill>
          </w14:textFill>
        </w:rPr>
        <w:t>施工方法不合理、施工组织（工艺）</w:t>
      </w:r>
      <w:r>
        <w:rPr>
          <w:rFonts w:hint="eastAsia" w:ascii="仿宋_GB2312" w:hAnsi="仿宋_GB2312" w:eastAsia="仿宋_GB2312"/>
          <w:color w:val="000000" w:themeColor="text1"/>
          <w:sz w:val="32"/>
          <w14:textFill>
            <w14:solidFill>
              <w14:schemeClr w14:val="tx1"/>
            </w14:solidFill>
          </w14:textFill>
        </w:rPr>
        <w:t>和进度安排不符合</w:t>
      </w:r>
      <w:r>
        <w:rPr>
          <w:rFonts w:hint="eastAsia" w:ascii="仿宋_GB2312" w:hAnsi="仿宋_GB2312" w:eastAsia="仿宋_GB2312"/>
          <w:color w:val="000000" w:themeColor="text1"/>
          <w:sz w:val="32"/>
          <w:lang w:eastAsia="zh-CN"/>
          <w14:textFill>
            <w14:solidFill>
              <w14:schemeClr w14:val="tx1"/>
            </w14:solidFill>
          </w14:textFill>
        </w:rPr>
        <w:t>“</w:t>
      </w:r>
      <w:r>
        <w:rPr>
          <w:rFonts w:hint="eastAsia" w:ascii="仿宋_GB2312" w:hAnsi="仿宋_GB2312" w:eastAsia="仿宋_GB2312"/>
          <w:color w:val="000000" w:themeColor="text1"/>
          <w:sz w:val="32"/>
          <w14:textFill>
            <w14:solidFill>
              <w14:schemeClr w14:val="tx1"/>
            </w14:solidFill>
          </w14:textFill>
        </w:rPr>
        <w:t>三同时</w:t>
      </w:r>
      <w:r>
        <w:rPr>
          <w:rFonts w:hint="eastAsia" w:ascii="仿宋_GB2312" w:hAnsi="仿宋_GB2312" w:eastAsia="仿宋_GB2312"/>
          <w:color w:val="000000" w:themeColor="text1"/>
          <w:sz w:val="32"/>
          <w:lang w:eastAsia="zh-CN"/>
          <w14:textFill>
            <w14:solidFill>
              <w14:schemeClr w14:val="tx1"/>
            </w14:solidFill>
          </w14:textFill>
        </w:rPr>
        <w:t>”</w:t>
      </w:r>
      <w:r>
        <w:rPr>
          <w:rFonts w:hint="eastAsia" w:ascii="仿宋_GB2312" w:hAnsi="仿宋_GB2312" w:eastAsia="仿宋_GB2312"/>
          <w:color w:val="000000" w:themeColor="text1"/>
          <w:sz w:val="32"/>
          <w14:textFill>
            <w14:solidFill>
              <w14:schemeClr w14:val="tx1"/>
            </w14:solidFill>
          </w14:textFill>
        </w:rPr>
        <w:t>制度和</w:t>
      </w:r>
      <w:r>
        <w:rPr>
          <w:rFonts w:hint="eastAsia" w:ascii="仿宋_GB2312" w:hAnsi="仿宋_GB2312" w:eastAsia="仿宋_GB2312"/>
          <w:color w:val="000000" w:themeColor="text1"/>
          <w:sz w:val="32"/>
          <w:lang w:eastAsia="zh-CN"/>
          <w14:textFill>
            <w14:solidFill>
              <w14:schemeClr w14:val="tx1"/>
            </w14:solidFill>
          </w14:textFill>
        </w:rPr>
        <w:t>“</w:t>
      </w:r>
      <w:r>
        <w:rPr>
          <w:rFonts w:hint="eastAsia" w:ascii="仿宋_GB2312" w:hAnsi="仿宋_GB2312" w:eastAsia="仿宋_GB2312"/>
          <w:color w:val="000000" w:themeColor="text1"/>
          <w:sz w:val="32"/>
          <w14:textFill>
            <w14:solidFill>
              <w14:schemeClr w14:val="tx1"/>
            </w14:solidFill>
          </w14:textFill>
        </w:rPr>
        <w:t>先拦后弃</w:t>
      </w:r>
      <w:r>
        <w:rPr>
          <w:rFonts w:hint="eastAsia" w:ascii="仿宋_GB2312" w:hAnsi="仿宋_GB2312" w:eastAsia="仿宋_GB2312"/>
          <w:color w:val="000000" w:themeColor="text1"/>
          <w:sz w:val="32"/>
          <w:lang w:eastAsia="zh-CN"/>
          <w14:textFill>
            <w14:solidFill>
              <w14:schemeClr w14:val="tx1"/>
            </w14:solidFill>
          </w14:textFill>
        </w:rPr>
        <w:t>”</w:t>
      </w:r>
      <w:r>
        <w:rPr>
          <w:rFonts w:hint="eastAsia" w:ascii="仿宋_GB2312" w:hAnsi="仿宋_GB2312" w:eastAsia="仿宋_GB2312"/>
          <w:color w:val="000000" w:themeColor="text1"/>
          <w:sz w:val="32"/>
          <w14:textFill>
            <w14:solidFill>
              <w14:schemeClr w14:val="tx1"/>
            </w14:solidFill>
          </w14:textFill>
        </w:rPr>
        <w:t>原则的</w:t>
      </w:r>
      <w:r>
        <w:rPr>
          <w:rFonts w:hint="eastAsia" w:ascii="仿宋_GB2312" w:hAnsi="仿宋_GB2312" w:eastAsia="仿宋_GB2312"/>
          <w:color w:val="000000" w:themeColor="text1"/>
          <w:sz w:val="32"/>
          <w:lang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水土保持监测内容、方法、频次、监测点位布设明显不符合标准要求的</w:t>
      </w:r>
      <w:r>
        <w:rPr>
          <w:rFonts w:hint="eastAsia" w:ascii="仿宋_GB2312" w:hAnsi="仿宋_GB2312" w:eastAsia="仿宋_GB2312"/>
          <w:color w:val="000000" w:themeColor="text1"/>
          <w:sz w:val="32"/>
          <w:lang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仿宋_GB2312" w:hAnsi="仿宋_GB2312" w:eastAsia="仿宋_GB2312"/>
          <w:color w:val="000000" w:themeColor="text1"/>
          <w:sz w:val="32"/>
          <w:lang w:eastAsia="zh-CN"/>
          <w14:textFill>
            <w14:solidFill>
              <w14:schemeClr w14:val="tx1"/>
            </w14:solidFill>
          </w14:textFill>
        </w:rPr>
        <w:t>水土保持投资明显不符合有关投资编制要求的；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水土保持方案基础资料数据明显不实，内容存在重大缺陷、遗漏、抄袭、拷贝的；</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eastAsia" w:ascii="仿宋_GB2312" w:hAnsi="仿宋_GB2312" w:eastAsia="仿宋_GB2312"/>
          <w:color w:val="000000" w:themeColor="text1"/>
          <w:sz w:val="32"/>
          <w:lang w:val="en-US" w:eastAsia="zh-CN"/>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报告书附图绘图比例、图例、标注等明显不符合技术标准和水土保持制图规范要求的。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取土场、弃渣场变更水土保持方案补充报告书存在下列情形之一的，不予通过技术评审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编制补充报告书所依据的技术资料与项目建设所处阶段不相符的；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弃渣场选址不合理的（下游有敏感点且无专题论证或论证结论不支撑选址合理性的，涉及河湖及建成水库弃渣的，涉及其他法律法规禁止弃渣区域的，涉及生态保护红线无支撑性文件的）；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取土场、</w:t>
      </w:r>
      <w:r>
        <w:rPr>
          <w:rFonts w:hint="default" w:ascii="Times New Roman" w:hAnsi="Times New Roman" w:eastAsia="仿宋_GB2312" w:cs="Times New Roman"/>
          <w:color w:val="000000" w:themeColor="text1"/>
          <w:sz w:val="32"/>
          <w:szCs w:val="32"/>
          <w14:textFill>
            <w14:solidFill>
              <w14:schemeClr w14:val="tx1"/>
            </w14:solidFill>
          </w14:textFill>
        </w:rPr>
        <w:t>弃渣场地形图、遥感影像、现场照片不翔实，图</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件</w:t>
      </w:r>
      <w:r>
        <w:rPr>
          <w:rFonts w:hint="default" w:ascii="Times New Roman" w:hAnsi="Times New Roman" w:eastAsia="仿宋_GB2312" w:cs="Times New Roman"/>
          <w:color w:val="000000" w:themeColor="text1"/>
          <w:sz w:val="32"/>
          <w:szCs w:val="32"/>
          <w14:textFill>
            <w14:solidFill>
              <w14:schemeClr w14:val="tx1"/>
            </w14:solidFill>
          </w14:textFill>
        </w:rPr>
        <w:t>范围不能满足选址分析要求</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10万立方米以上取土场、弃渣场无工程地质资料，位于沟道和坡地4级以上弃渣场无地勘结论的；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（四）取土场、</w:t>
      </w:r>
      <w:r>
        <w:rPr>
          <w:rFonts w:hint="default" w:ascii="Times New Roman" w:hAnsi="Times New Roman" w:eastAsia="仿宋_GB2312" w:cs="Times New Roman"/>
          <w:color w:val="000000" w:themeColor="text1"/>
          <w:sz w:val="32"/>
          <w:szCs w:val="32"/>
          <w14:textFill>
            <w14:solidFill>
              <w14:schemeClr w14:val="tx1"/>
            </w14:solidFill>
          </w14:textFill>
        </w:rPr>
        <w:t>弃渣场</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sz w:val="32"/>
          <w:szCs w:val="32"/>
          <w14:textFill>
            <w14:solidFill>
              <w14:schemeClr w14:val="tx1"/>
            </w14:solidFill>
          </w14:textFill>
        </w:rPr>
        <w:t>位置、范围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防护措施等</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情况</w:t>
      </w:r>
      <w:r>
        <w:rPr>
          <w:rFonts w:hint="default" w:ascii="Times New Roman" w:hAnsi="Times New Roman" w:eastAsia="仿宋_GB2312" w:cs="Times New Roman"/>
          <w:color w:val="000000" w:themeColor="text1"/>
          <w:sz w:val="32"/>
          <w:szCs w:val="32"/>
          <w14:textFill>
            <w14:solidFill>
              <w14:schemeClr w14:val="tx1"/>
            </w14:solidFill>
          </w14:textFill>
        </w:rPr>
        <w:t>与实际不符</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的，取土场、弃渣场未逐一进行措施布设的；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五</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取土场、弃渣场</w:t>
      </w:r>
      <w:r>
        <w:rPr>
          <w:rFonts w:hint="default" w:ascii="Times New Roman" w:hAnsi="Times New Roman" w:eastAsia="仿宋_GB2312" w:cs="Times New Roman"/>
          <w:color w:val="000000" w:themeColor="text1"/>
          <w:sz w:val="32"/>
          <w14:textFill>
            <w14:solidFill>
              <w14:schemeClr w14:val="tx1"/>
            </w14:solidFill>
          </w14:textFill>
        </w:rPr>
        <w:t>水土保持措施体系不完整</w:t>
      </w:r>
      <w:r>
        <w:rPr>
          <w:rFonts w:hint="default" w:ascii="Times New Roman" w:hAnsi="Times New Roman" w:eastAsia="仿宋_GB2312" w:cs="Times New Roman"/>
          <w:color w:val="000000" w:themeColor="text1"/>
          <w:sz w:val="32"/>
          <w:lang w:eastAsia="zh-CN"/>
          <w14:textFill>
            <w14:solidFill>
              <w14:schemeClr w14:val="tx1"/>
            </w14:solidFill>
          </w14:textFill>
        </w:rPr>
        <w:t>，措施等级、标准不合理或者不能满足水土流失防治要求的</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六</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弃渣场未按设计堆置、拦挡和防护，补充报告书未提出解决方案的；</w:t>
      </w:r>
    </w:p>
    <w:p>
      <w:pPr>
        <w:rPr>
          <w:rFonts w:hint="eastAsia" w:ascii="黑体" w:hAnsi="黑体" w:eastAsia="黑体" w:cs="黑体"/>
          <w:sz w:val="32"/>
          <w:szCs w:val="32"/>
          <w:lang w:val="en-US" w:eastAsia="zh-CN"/>
        </w:rPr>
      </w:pPr>
    </w:p>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outlineLvl w:val="9"/>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val="0"/>
        <w:snapToGrid w:val="0"/>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2"/>
          <w:szCs w:val="4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2"/>
          <w:szCs w:val="42"/>
          <w:lang w:val="en-US" w:eastAsia="zh-CN"/>
        </w:rPr>
      </w:pPr>
      <w:r>
        <w:rPr>
          <w:rFonts w:hint="eastAsia" w:ascii="方正小标宋简体" w:hAnsi="方正小标宋简体" w:eastAsia="方正小标宋简体" w:cs="方正小标宋简体"/>
          <w:b w:val="0"/>
          <w:bCs w:val="0"/>
          <w:sz w:val="42"/>
          <w:szCs w:val="42"/>
          <w:lang w:val="en-US" w:eastAsia="zh-CN"/>
        </w:rPr>
        <w:t>生产建设项目水土保持方案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2"/>
          <w:szCs w:val="42"/>
          <w:lang w:val="en-US" w:eastAsia="zh-CN"/>
        </w:rPr>
      </w:pPr>
      <w:r>
        <w:rPr>
          <w:rFonts w:hint="eastAsia" w:ascii="方正小标宋简体" w:hAnsi="方正小标宋简体" w:eastAsia="方正小标宋简体" w:cs="方正小标宋简体"/>
          <w:b w:val="0"/>
          <w:bCs w:val="0"/>
          <w:sz w:val="42"/>
          <w:szCs w:val="42"/>
          <w:lang w:val="en-US" w:eastAsia="zh-CN"/>
        </w:rPr>
        <w:t>技术评审专家考评要点</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评审专家有下列情形之一的，视情节轻重，由专家库建立单位进行约谈、警告、取消专家资格，取消专家资格的5年内不得重新入选专家库，同时通报专家所在单位并记入个人诚信档案；构成犯罪的，移交司法部门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（一）不负责任，弄虚作假，或其他不客观、公正履行评审职责的；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（二）泄露技术评审过程中知悉的技术秘密、商业秘密以及其他不宜公开的情况，损害相关单位正当权益的；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（三）违反廉洁自律有关规定，向利害关系人提出不正当要求，或收受财物及其他好处的；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（四）技术评审期间，利用担任专家职务便利，向被评审项目单位承揽业务的；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（五）违反回避制度的；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（六）一年内缺席2次已承诺参加的评审会，及一年内2次不参加技术评审单位组织的现场查勘的；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（七）一年内出现2次提出的评审意见明显不符合技术标准或水土保持相关法律法规的；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（八）一年内出现2次对评审分工负责的章节内容审核把关不严，存在不符合法律法规和技术标准要求的；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（九）一年内出现2次对不符合法律法规、技术标准的水土保持方案报告表签署同意意见的；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175"/>
        <w:jc w:val="both"/>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（十）违反其他相关规定，不宜继续履行专家职责的。</w:t>
      </w:r>
    </w:p>
    <w:p>
      <w:pPr>
        <w:keepNext w:val="0"/>
        <w:keepLines w:val="0"/>
        <w:pageBreakBefore w:val="0"/>
        <w:widowControl w:val="0"/>
        <w:kinsoku/>
        <w:wordWrap/>
        <w:overflowPunct/>
        <w:topLinePunct w:val="0"/>
        <w:autoSpaceDE/>
        <w:autoSpaceDN/>
        <w:bidi w:val="0"/>
        <w:spacing w:line="600" w:lineRule="exact"/>
        <w:ind w:left="0" w:leftChars="0" w:right="0" w:rightChars="0" w:firstLine="560" w:firstLineChars="175"/>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outlineLvl w:val="9"/>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right"/>
        <w:textAlignment w:val="auto"/>
        <w:outlineLvl w:val="9"/>
        <w:rPr>
          <w:rFonts w:hint="eastAsia" w:ascii="仿宋" w:hAnsi="仿宋" w:eastAsia="仿宋" w:cs="仿宋"/>
          <w:sz w:val="32"/>
          <w:szCs w:val="32"/>
          <w:lang w:val="en-US" w:eastAsia="zh-CN"/>
        </w:rPr>
        <w:sectPr>
          <w:footerReference r:id="rId3" w:type="default"/>
          <w:footerReference r:id="rId4" w:type="even"/>
          <w:pgSz w:w="11906" w:h="16838"/>
          <w:pgMar w:top="1928" w:right="1474" w:bottom="1701" w:left="1531" w:header="851" w:footer="1191" w:gutter="0"/>
          <w:pgNumType w:fmt="decimal"/>
          <w:cols w:space="0" w:num="1"/>
          <w:docGrid w:linePitch="312" w:charSpace="0"/>
        </w:sect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hint="eastAsia" w:eastAsia="方正小标宋简体"/>
          <w:sz w:val="30"/>
          <w:szCs w:val="30"/>
          <w:lang w:val="en-US" w:eastAsia="zh-CN"/>
        </w:rPr>
      </w:pPr>
      <w:r>
        <w:rPr>
          <w:rFonts w:hint="eastAsia" w:eastAsia="方正小标宋简体"/>
          <w:sz w:val="30"/>
          <w:szCs w:val="30"/>
          <w:lang w:val="en-US" w:eastAsia="zh-CN"/>
        </w:rPr>
        <w:t xml:space="preserve">  </w:t>
      </w: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p>
    <w:p>
      <w:pPr>
        <w:spacing w:after="60" w:afterLines="25" w:line="600" w:lineRule="exact"/>
        <w:rPr>
          <w:rFonts w:eastAsia="方正小标宋简体"/>
          <w:sz w:val="30"/>
          <w:szCs w:val="30"/>
        </w:rPr>
      </w:pPr>
      <w:r>
        <mc:AlternateContent>
          <mc:Choice Requires="wps">
            <w:drawing>
              <wp:anchor distT="0" distB="0" distL="114300" distR="114300" simplePos="0" relativeHeight="251662336" behindDoc="0" locked="0" layoutInCell="1" allowOverlap="1">
                <wp:simplePos x="0" y="0"/>
                <wp:positionH relativeFrom="column">
                  <wp:posOffset>-15875</wp:posOffset>
                </wp:positionH>
                <wp:positionV relativeFrom="paragraph">
                  <wp:posOffset>389255</wp:posOffset>
                </wp:positionV>
                <wp:extent cx="567372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73725"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5pt;margin-top:30.65pt;height:0pt;width:446.75pt;z-index:251662336;mso-width-relative:page;mso-height-relative:page;" filled="f" stroked="t" coordsize="21600,21600" o:gfxdata="UEsDBAoAAAAAAIdO4kAAAAAAAAAAAAAAAAAEAAAAZHJzL1BLAwQUAAAACACHTuJAMbTgXtcAAAAI&#10;AQAADwAAAGRycy9kb3ducmV2LnhtbE2PzU7DMBCE70i8g7VI3FonQZQQ4vQAqioQl7ZIXLfJEgfi&#10;dRq7P7w9i3qA486MZr8p5yfXqwONofNsIJ0moIhr33TcGnjbLCY5qBCRG+w9k4FvCjCvLi9KLBp/&#10;5BUd1rFVUsKhQAM2xqHQOtSWHIapH4jF+/Cjwyjn2OpmxKOUu15nSTLTDjuWDxYHerRUf633zgA+&#10;LVfxPc9e7rpn+/q5WeyWNt8Zc32VJg+gIp3iXxh+8QUdKmHa+j03QfUGJtmtJA3M0htQ4uf3qWzb&#10;ngVdlfr/gOoHUEsDBBQAAAAIAIdO4kAlNf6u+gEAAPMDAAAOAAAAZHJzL2Uyb0RvYy54bWytU72O&#10;EzEQ7pF4B8s92SToLmiVzRUXjgbBScADTGzvriX/yeNkk5fgBZDooKKk5204HoOxNxeOo0nBFt6x&#10;Z/zNfN+Ml1d7a9hORdTeNXw2mXKmnPBSu67hH97fPHvBGSZwEox3quEHhfxq9fTJcgi1mvveG6ki&#10;IxCH9RAa3qcU6qpC0SsLOPFBOXK2PlpItI1dJSMMhG5NNZ9OL6vBRxmiFwqRTtejkx8R4zmAvm21&#10;UGsvtla5NKJGZSARJex1QL4q1batEult26JKzDScmKayUhKyN3mtVkuouwih1+JYApxTwiNOFrSj&#10;pCeoNSRg26j/gbJaRI++TRPhbTUSKYoQi9n0kTbvegiqcCGpMZxEx/8HK97sbiPTkiaBMweWGn73&#10;6fvPj19+/fhM6923r2yWRRoC1hR77W7jcYfhNmbG+zba/CcubF+EPZyEVfvEBB1eXC6eL+YXnIl7&#10;X/XnYoiYXilvWTYabrTLnKGG3WtMlIxC70PysXFsoGrniyn1UABNYEudJ9MGYoGuK5fRGy1vtDH5&#10;CsZuc20i20GegvJlTgT8V1jOsgbsx7jiGuejVyBfOsnSIZA+jp4FzzVYJTkzil5RtggQ6gTanBNJ&#10;qY3LF1SZ0SPRLPIoa7Y2Xh6oN9sQddeTMKUPVfbQLJTqj3Obh+3hnuyHb3X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G04F7XAAAACAEAAA8AAAAAAAAAAQAgAAAAIgAAAGRycy9kb3ducmV2Lnht&#10;bFBLAQIUABQAAAAIAIdO4kAlNf6u+gEAAPMDAAAOAAAAAAAAAAEAIAAAACYBAABkcnMvZTJvRG9j&#10;LnhtbFBLBQYAAAAABgAGAFkBAACSBQAAAAA=&#10;">
                <v:fill on="f" focussize="0,0"/>
                <v:stroke weight="1pt" color="#000000" joinstyle="round"/>
                <v:imagedata o:title=""/>
                <o:lock v:ext="edit" aspectratio="f"/>
              </v:line>
            </w:pict>
          </mc:Fallback>
        </mc:AlternateContent>
      </w:r>
    </w:p>
    <w:p>
      <w:pPr>
        <w:spacing w:line="520" w:lineRule="exact"/>
        <w:ind w:firstLine="280" w:firstLineChars="100"/>
        <w:rPr>
          <w:rFonts w:eastAsia="仿宋_GB2312"/>
          <w:sz w:val="28"/>
          <w:szCs w:val="28"/>
        </w:rPr>
      </w:pPr>
      <w:r>
        <w:rPr>
          <w:rFonts w:hint="eastAsia" w:eastAsia="仿宋_GB2312"/>
          <w:sz w:val="28"/>
          <w:szCs w:val="28"/>
        </w:rPr>
        <w:t>抄送：各市审批局。</w:t>
      </w:r>
    </w:p>
    <w:p>
      <w:pPr>
        <w:spacing w:line="660" w:lineRule="exact"/>
        <w:rPr>
          <w:rFonts w:hint="eastAsia"/>
          <w:lang w:val="en-US" w:eastAsia="zh-CN"/>
        </w:rPr>
      </w:pPr>
      <w: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67310</wp:posOffset>
                </wp:positionV>
                <wp:extent cx="5673725"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567372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5pt;margin-top:5.3pt;height:0pt;width:446.75pt;z-index:251661312;mso-width-relative:page;mso-height-relative:page;" filled="f" stroked="t" coordsize="21600,21600" o:gfxdata="UEsDBAoAAAAAAIdO4kAAAAAAAAAAAAAAAAAEAAAAZHJzL1BLAwQUAAAACACHTuJA6czyTdUAAAAI&#10;AQAADwAAAGRycy9kb3ducmV2LnhtbE2PzU7DMBCE70i8g7VIXKrWbiuqNsTpAciNCy2I6zbeJhHx&#10;Oo3dH3h6FnGA486MZr/J1xffqRMNsQ1sYToxoIir4FquLbxuy/ESVEzIDrvAZOGTIqyL66scMxfO&#10;/EKnTaqVlHDM0EKTUp9pHauGPMZJ6InF24fBY5JzqLUb8CzlvtMzYxbaY8vyocGeHhqqPjZHbyGW&#10;b3Qov0bVyLzP60Czw+PzE1p7ezM196ASXdJfGH7wBR0KYdqFI7uoOgvjuUxJopsFKPGXK3MHavcr&#10;6CLX/wcU31BLAwQUAAAACACHTuJALW1xyfkBAADyAwAADgAAAGRycy9lMm9Eb2MueG1srVPNjtMw&#10;EL4j8Q6W7zRtUbds1HQPW5YLgkrAA0wdJ7HkP3ncpn0JXgCJG5w4cudtdnkMxk63uyyXHsjBGXtm&#10;vpnv83hxtTea7WRA5WzFJ6MxZ9IKVyvbVvzTx5sXrzjDCLYG7ays+EEiv1o+f7bofSmnrnO6loER&#10;iMWy9xXvYvRlUaDopAEcOS8tORsXDETahraoA/SEbnQxHY8vit6F2gcnJCKdrgYnPyKGcwBd0ygh&#10;V05sjbRxQA1SQyRK2CmPfJm7bRop4vumQRmZrjgxjXmlImRv0losF1C2AXynxLEFOKeFJ5wMKEtF&#10;T1AriMC2Qf0DZZQIDl0TR8KZYiCSFSEWk/ETbT504GXmQlKjP4mO/w9WvNutA1N1xeecWTB04Xdf&#10;ft5+/vb711da7358Z/MkUu+xpNhruw7HHfp1SIz3TTDpT1zYPgt7OAkr95EJOpxdzF/OpzPOxL2v&#10;eEj0AeMb6QxLRsW1sokzlLB7i5GKUeh9SDrWlvUVv5xlOKABbOjiCdl4IoG2zbnotKpvlNYpA0O7&#10;udaB7SANQf4SJcL9KywVWQF2Q1x2DePRSahf25rFgyd5LL0KnlowsuZMS3pEySJAKCMofU4kldY2&#10;Jcg8okeeSeNB1WRtXH2gq9n6oNqOdJnknpOHRiF3fxzbNGuP92Q/fqrL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nM8k3VAAAACAEAAA8AAAAAAAAAAQAgAAAAIgAAAGRycy9kb3ducmV2LnhtbFBL&#10;AQIUABQAAAAIAIdO4kAtbXHJ+QEAAPIDAAAOAAAAAAAAAAEAIAAAACQBAABkcnMvZTJvRG9jLnht&#10;bFBLBQYAAAAABgAGAFkBAACP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481330</wp:posOffset>
                </wp:positionV>
                <wp:extent cx="5673725"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673725"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5pt;margin-top:37.9pt;height:0pt;width:446.75pt;z-index:251663360;mso-width-relative:page;mso-height-relative:page;" filled="f" stroked="t" coordsize="21600,21600" o:gfxdata="UEsDBAoAAAAAAIdO4kAAAAAAAAAAAAAAAAAEAAAAZHJzL1BLAwQUAAAACACHTuJA6Frd/dcAAAAI&#10;AQAADwAAAGRycy9kb3ducmV2LnhtbE2PTU/DMAyG70j8h8hI3LZ0Q2OlNN0BNE0gLtuQuHqNaQqN&#10;0zXZB/8eIw5wtF/r9fOUi7Pv1JGG2AY2MBlnoIjrYFtuDLxul6McVEzIFrvAZOCLIiyqy4sSCxtO&#10;vKbjJjVKSjgWaMCl1Bdax9qRxzgOPbFk72HwmGQcGm0HPEm57/Q0y261x5blg8OeHhzVn5uDN4CP&#10;q3V6y6fP8/bJvXxsl/uVy/fGXF9NsntQic7p7xh+8AUdKmHahQPbqDoDoxtRSQbmMzGQPL/LZqB2&#10;vwtdlfq/QPUNUEsDBBQAAAAIAIdO4kDDeP+z+wEAAPMDAAAOAAAAZHJzL2Uyb0RvYy54bWytU82O&#10;0zAQviPxDpbvNG3RbldR0z1sWS4IKgEPMHWcxJL/5HGb9iV4ASRucOLInbdh9zEYO9myLJceyMEZ&#10;e8bfzPfNeHl9MJrtZUDlbMVnkyln0gpXK9tW/OOH2xdXnGEEW4N2Vlb8KJFfr54/W/a+lHPXOV3L&#10;wAjEYtn7incx+rIoUHTSAE6cl5acjQsGIm1DW9QBekI3uphPp5dF70LtgxMSkU7Xg5OPiOEcQNc0&#10;Ssi1EzsjbRxQg9QQiRJ2yiNf5WqbRor4rmlQRqYrTkxjXikJ2du0FqsllG0A3ykxlgDnlPCEkwFl&#10;KekJag0R2C6of6CMEsGha+JEOFMMRLIixGI2faLN+w68zFxIavQn0fH/wYq3+01gqq44td2CoYbf&#10;ff7x69PX+59faL37/o1dJZF6jyXF3thNGHfoNyExPjTBpD9xYYcs7PEkrDxEJujw4nLxcjG/4Ew8&#10;+Io/F33A+Fo6w5JRca1s4gwl7N9gpGQU+hCSjrVlPc3tfDGlHgqgCWyo82QaTyzQtvkyOq3qW6V1&#10;uoKh3d7owPaQpiB/iRMB/xWWsqwBuyEuu4b56CTUr2zN4tGTPpaeBU81GFlzpiW9omQRIJQRlD4n&#10;klJrmy7IPKMj0STyIGuytq4+Um92Pqi2I2FmuebkoVnI1Y9zm4bt8Z7sx291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Wt391wAAAAgBAAAPAAAAAAAAAAEAIAAAACIAAABkcnMvZG93bnJldi54&#10;bWxQSwECFAAUAAAACACHTuJAw3j/s/sBAADzAwAADgAAAAAAAAABACAAAAAmAQAAZHJzL2Uyb0Rv&#10;Yy54bWxQSwUGAAAAAAYABgBZAQAAkwUAAAAA&#10;">
                <v:fill on="f" focussize="0,0"/>
                <v:stroke weight="1pt" color="#000000" joinstyle="round"/>
                <v:imagedata o:title=""/>
                <o:lock v:ext="edit" aspectratio="f"/>
              </v:line>
            </w:pict>
          </mc:Fallback>
        </mc:AlternateContent>
      </w:r>
      <w:r>
        <w:rPr>
          <w:rFonts w:eastAsia="仿宋_GB2312"/>
          <w:sz w:val="28"/>
          <w:szCs w:val="28"/>
        </w:rPr>
        <w:t xml:space="preserve">  </w:t>
      </w:r>
      <w:r>
        <w:rPr>
          <w:rFonts w:hint="eastAsia" w:eastAsia="仿宋_GB2312"/>
          <w:sz w:val="28"/>
          <w:szCs w:val="28"/>
        </w:rPr>
        <w:t>广西壮族自治区水利厅办公室</w:t>
      </w:r>
      <w:r>
        <w:rPr>
          <w:rFonts w:eastAsia="仿宋_GB2312"/>
          <w:spacing w:val="4"/>
          <w:sz w:val="28"/>
          <w:szCs w:val="28"/>
        </w:rPr>
        <w:t xml:space="preserve">     </w:t>
      </w:r>
      <w:r>
        <w:rPr>
          <w:rFonts w:hint="eastAsia" w:eastAsia="仿宋_GB2312"/>
          <w:spacing w:val="4"/>
          <w:sz w:val="28"/>
          <w:szCs w:val="28"/>
          <w:lang w:val="en-US" w:eastAsia="zh-CN"/>
        </w:rPr>
        <w:t xml:space="preserve"> </w:t>
      </w:r>
      <w:r>
        <w:rPr>
          <w:rFonts w:eastAsia="仿宋_GB2312"/>
          <w:spacing w:val="4"/>
          <w:sz w:val="28"/>
          <w:szCs w:val="28"/>
        </w:rPr>
        <w:t xml:space="preserve">   </w:t>
      </w:r>
      <w:r>
        <w:rPr>
          <w:rFonts w:ascii="Times New Roman" w:hAnsi="Times New Roman" w:eastAsia="仿宋_GB2312"/>
          <w:spacing w:val="4"/>
          <w:sz w:val="28"/>
          <w:szCs w:val="28"/>
        </w:rPr>
        <w:t xml:space="preserve">   </w:t>
      </w:r>
      <w:r>
        <w:rPr>
          <w:rFonts w:ascii="Times New Roman" w:hAnsi="Times New Roman" w:eastAsia="仿宋_GB2312"/>
          <w:sz w:val="28"/>
          <w:szCs w:val="28"/>
        </w:rPr>
        <w:t>202</w:t>
      </w:r>
      <w:r>
        <w:rPr>
          <w:rFonts w:hint="eastAsia" w:ascii="Times New Roman" w:hAnsi="Times New Roman" w:eastAsia="仿宋_GB2312"/>
          <w:sz w:val="28"/>
          <w:szCs w:val="28"/>
          <w:lang w:val="en-US" w:eastAsia="zh-CN"/>
        </w:rPr>
        <w:t>1</w:t>
      </w:r>
      <w:r>
        <w:rPr>
          <w:rFonts w:hint="eastAsia" w:ascii="Times New Roman" w:eastAsia="仿宋_GB2312"/>
          <w:sz w:val="28"/>
          <w:szCs w:val="28"/>
        </w:rPr>
        <w:t>年</w:t>
      </w:r>
      <w:r>
        <w:rPr>
          <w:rFonts w:hint="eastAsia" w:ascii="Times New Roman" w:hAnsi="Times New Roman" w:eastAsia="仿宋_GB2312"/>
          <w:sz w:val="28"/>
          <w:szCs w:val="28"/>
          <w:lang w:val="en-US" w:eastAsia="zh-CN"/>
        </w:rPr>
        <w:t>12</w:t>
      </w:r>
      <w:r>
        <w:rPr>
          <w:rFonts w:hint="eastAsia" w:ascii="Times New Roman" w:eastAsia="仿宋_GB2312"/>
          <w:sz w:val="28"/>
          <w:szCs w:val="28"/>
        </w:rPr>
        <w:t>月</w:t>
      </w:r>
      <w:r>
        <w:rPr>
          <w:rFonts w:hint="eastAsia" w:ascii="Times New Roman" w:eastAsia="仿宋_GB2312"/>
          <w:sz w:val="28"/>
          <w:szCs w:val="28"/>
          <w:lang w:val="en-US" w:eastAsia="zh-CN"/>
        </w:rPr>
        <w:t>27</w:t>
      </w:r>
      <w:r>
        <w:rPr>
          <w:rFonts w:hint="eastAsia" w:ascii="Times New Roman" w:eastAsia="仿宋_GB2312"/>
          <w:sz w:val="28"/>
          <w:szCs w:val="28"/>
        </w:rPr>
        <w:t>日印发</w:t>
      </w:r>
      <w:r>
        <w:rPr>
          <w:rFonts w:ascii="Times New Roman" w:hAnsi="Times New Roman" w:eastAsia="仿宋_GB2312"/>
          <w:sz w:val="28"/>
          <w:szCs w:val="28"/>
        </w:rPr>
        <w:t xml:space="preserve">  </w:t>
      </w:r>
    </w:p>
    <w:sectPr>
      <w:footerReference r:id="rId5" w:type="default"/>
      <w:footerReference r:id="rId6" w:type="even"/>
      <w:pgSz w:w="11906" w:h="16838"/>
      <w:pgMar w:top="1928" w:right="1474" w:bottom="1701" w:left="1531" w:header="851" w:footer="119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3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00" w:usb3="00000000" w:csb0="00040000" w:csb1="00000000"/>
  </w:font>
  <w:font w:name="方正大标宋简体">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pPr>
    <w:r>
      <w:rPr>
        <w:rFonts w:hint="eastAsia"/>
        <w:kern w:val="0"/>
        <w:sz w:val="28"/>
        <w:szCs w:val="28"/>
      </w:rPr>
      <w:t>—</w:t>
    </w:r>
    <w:r>
      <w:rPr>
        <w:kern w:val="0"/>
        <w:sz w:val="28"/>
        <w:szCs w:val="28"/>
      </w:rPr>
      <w:t xml:space="preserve"> </w:t>
    </w:r>
    <w:r>
      <w:rPr>
        <w:rFonts w:ascii="Times New Roman" w:hAnsi="Times New Roman"/>
        <w:kern w:val="0"/>
        <w:sz w:val="28"/>
        <w:szCs w:val="28"/>
      </w:rPr>
      <w:fldChar w:fldCharType="begin"/>
    </w:r>
    <w:r>
      <w:rPr>
        <w:rFonts w:ascii="Times New Roman" w:hAnsi="Times New Roman"/>
        <w:kern w:val="0"/>
        <w:sz w:val="28"/>
        <w:szCs w:val="28"/>
      </w:rPr>
      <w:instrText xml:space="preserve"> PAGE </w:instrText>
    </w:r>
    <w:r>
      <w:rPr>
        <w:rFonts w:ascii="Times New Roman" w:hAnsi="Times New Roman"/>
        <w:kern w:val="0"/>
        <w:sz w:val="28"/>
        <w:szCs w:val="28"/>
      </w:rPr>
      <w:fldChar w:fldCharType="separate"/>
    </w:r>
    <w:r>
      <w:rPr>
        <w:rFonts w:ascii="Times New Roman" w:hAnsi="Times New Roman"/>
        <w:kern w:val="0"/>
        <w:sz w:val="28"/>
        <w:szCs w:val="28"/>
      </w:rPr>
      <w:t>1</w:t>
    </w:r>
    <w:r>
      <w:rPr>
        <w:rFonts w:ascii="Times New Roman" w:hAnsi="Times New Roman"/>
        <w:kern w:val="0"/>
        <w:sz w:val="28"/>
        <w:szCs w:val="28"/>
      </w:rPr>
      <w:fldChar w:fldCharType="end"/>
    </w:r>
    <w:r>
      <w:rPr>
        <w:kern w:val="0"/>
        <w:sz w:val="28"/>
        <w:szCs w:val="28"/>
      </w:rPr>
      <w:t xml:space="preserve"> </w:t>
    </w:r>
    <w:r>
      <w:rPr>
        <w:rFonts w:hint="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left"/>
    </w:pPr>
    <w:r>
      <w:rPr>
        <w:rFonts w:hint="eastAsia"/>
        <w:kern w:val="0"/>
        <w:sz w:val="28"/>
        <w:szCs w:val="28"/>
      </w:rPr>
      <w:t>—</w:t>
    </w:r>
    <w:r>
      <w:rPr>
        <w:kern w:val="0"/>
        <w:sz w:val="28"/>
        <w:szCs w:val="28"/>
      </w:rPr>
      <w:t xml:space="preserve"> </w:t>
    </w:r>
    <w:r>
      <w:rPr>
        <w:rFonts w:ascii="Times New Roman" w:hAnsi="Times New Roman"/>
        <w:kern w:val="0"/>
        <w:sz w:val="28"/>
        <w:szCs w:val="28"/>
      </w:rPr>
      <w:fldChar w:fldCharType="begin"/>
    </w:r>
    <w:r>
      <w:rPr>
        <w:rFonts w:ascii="Times New Roman" w:hAnsi="Times New Roman"/>
        <w:kern w:val="0"/>
        <w:sz w:val="28"/>
        <w:szCs w:val="28"/>
      </w:rPr>
      <w:instrText xml:space="preserve"> PAGE </w:instrText>
    </w:r>
    <w:r>
      <w:rPr>
        <w:rFonts w:ascii="Times New Roman" w:hAnsi="Times New Roman"/>
        <w:kern w:val="0"/>
        <w:sz w:val="28"/>
        <w:szCs w:val="28"/>
      </w:rPr>
      <w:fldChar w:fldCharType="separate"/>
    </w:r>
    <w:r>
      <w:rPr>
        <w:rFonts w:ascii="Times New Roman" w:hAnsi="Times New Roman"/>
        <w:kern w:val="0"/>
        <w:sz w:val="28"/>
        <w:szCs w:val="28"/>
      </w:rPr>
      <w:t>2</w:t>
    </w:r>
    <w:r>
      <w:rPr>
        <w:rFonts w:ascii="Times New Roman" w:hAnsi="Times New Roman"/>
        <w:kern w:val="0"/>
        <w:sz w:val="28"/>
        <w:szCs w:val="28"/>
      </w:rPr>
      <w:fldChar w:fldCharType="end"/>
    </w:r>
    <w:r>
      <w:rPr>
        <w:kern w:val="0"/>
        <w:sz w:val="28"/>
        <w:szCs w:val="28"/>
      </w:rPr>
      <w:t xml:space="preserve"> </w:t>
    </w:r>
    <w:r>
      <w:rPr>
        <w:rFonts w:hint="eastAsia"/>
        <w:kern w:val="0"/>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hint="eastAsia"/>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rFonts w:hint="eastAsia"/>
        <w:sz w:val="28"/>
        <w:szCs w:val="28"/>
      </w:rPr>
    </w:pPr>
    <w:r>
      <w:rPr>
        <w:rFonts w:hint="eastAsia"/>
        <w:kern w:val="0"/>
        <w:sz w:val="28"/>
        <w:szCs w:val="28"/>
      </w:rPr>
      <w:t>—</w:t>
    </w: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2</w:t>
    </w:r>
    <w:r>
      <w:rPr>
        <w:kern w:val="0"/>
        <w:sz w:val="28"/>
        <w:szCs w:val="28"/>
      </w:rPr>
      <w:fldChar w:fldCharType="end"/>
    </w:r>
    <w:r>
      <w:rPr>
        <w:kern w:val="0"/>
        <w:sz w:val="28"/>
        <w:szCs w:val="28"/>
      </w:rPr>
      <w:t xml:space="preserve"> </w:t>
    </w:r>
    <w:r>
      <w:rPr>
        <w:rFonts w:hint="eastAsia"/>
        <w:kern w:val="0"/>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E60FE0"/>
    <w:multiLevelType w:val="singleLevel"/>
    <w:tmpl w:val="51E60FE0"/>
    <w:lvl w:ilvl="0" w:tentative="0">
      <w:start w:val="1"/>
      <w:numFmt w:val="chineseCounting"/>
      <w:suff w:val="nothing"/>
      <w:lvlText w:val="（%1）"/>
      <w:lvlJc w:val="left"/>
      <w:pPr>
        <w:ind w:left="0" w:firstLine="420"/>
      </w:pPr>
      <w:rPr>
        <w:rFonts w:hint="eastAsia"/>
      </w:rPr>
    </w:lvl>
  </w:abstractNum>
  <w:abstractNum w:abstractNumId="1">
    <w:nsid w:val="683EA6A8"/>
    <w:multiLevelType w:val="singleLevel"/>
    <w:tmpl w:val="683EA6A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mirrorMargins w:val="1"/>
  <w:bordersDoNotSurroundHeader w:val="1"/>
  <w:bordersDoNotSurroundFooter w:val="1"/>
  <w:documentProtection w:enforcement="0"/>
  <w:defaultTabStop w:val="420"/>
  <w:evenAndOddHeaders w:val="1"/>
  <w:drawingGridHorizontalSpacing w:val="21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7A1031"/>
    <w:rsid w:val="00442052"/>
    <w:rsid w:val="019C07EA"/>
    <w:rsid w:val="01DA591A"/>
    <w:rsid w:val="027C3163"/>
    <w:rsid w:val="03312C57"/>
    <w:rsid w:val="046477AF"/>
    <w:rsid w:val="049378C8"/>
    <w:rsid w:val="04BA6D16"/>
    <w:rsid w:val="050263B9"/>
    <w:rsid w:val="064E32CC"/>
    <w:rsid w:val="06E53813"/>
    <w:rsid w:val="097623F8"/>
    <w:rsid w:val="09772743"/>
    <w:rsid w:val="097E2B7B"/>
    <w:rsid w:val="09B573E7"/>
    <w:rsid w:val="0A1E5EFA"/>
    <w:rsid w:val="0A471A91"/>
    <w:rsid w:val="0A5C517D"/>
    <w:rsid w:val="0A9905BB"/>
    <w:rsid w:val="0AD7568A"/>
    <w:rsid w:val="0BA070A1"/>
    <w:rsid w:val="0BF27216"/>
    <w:rsid w:val="0C8017D7"/>
    <w:rsid w:val="0D7F54CA"/>
    <w:rsid w:val="0D8C7E6C"/>
    <w:rsid w:val="0EA207C8"/>
    <w:rsid w:val="0ED60CAF"/>
    <w:rsid w:val="0F4A7DE3"/>
    <w:rsid w:val="0F6B137F"/>
    <w:rsid w:val="10401081"/>
    <w:rsid w:val="1101215B"/>
    <w:rsid w:val="11807445"/>
    <w:rsid w:val="130F77A1"/>
    <w:rsid w:val="13503190"/>
    <w:rsid w:val="13D208B1"/>
    <w:rsid w:val="13D729BB"/>
    <w:rsid w:val="14C55BC6"/>
    <w:rsid w:val="14D93399"/>
    <w:rsid w:val="15353FB2"/>
    <w:rsid w:val="154B5756"/>
    <w:rsid w:val="15B714A5"/>
    <w:rsid w:val="16871529"/>
    <w:rsid w:val="169654DC"/>
    <w:rsid w:val="1802016D"/>
    <w:rsid w:val="18BF0F21"/>
    <w:rsid w:val="194A2E98"/>
    <w:rsid w:val="19C527D1"/>
    <w:rsid w:val="19D31EF1"/>
    <w:rsid w:val="1A4B7F4A"/>
    <w:rsid w:val="1AC07293"/>
    <w:rsid w:val="1ACF0CAC"/>
    <w:rsid w:val="1AD66323"/>
    <w:rsid w:val="1B4A42B8"/>
    <w:rsid w:val="1B816B12"/>
    <w:rsid w:val="1CD20EED"/>
    <w:rsid w:val="1D797D29"/>
    <w:rsid w:val="1DCA14D6"/>
    <w:rsid w:val="1E653131"/>
    <w:rsid w:val="1E6B7659"/>
    <w:rsid w:val="1F514441"/>
    <w:rsid w:val="20E61EF0"/>
    <w:rsid w:val="23CE7DDB"/>
    <w:rsid w:val="245F0641"/>
    <w:rsid w:val="248E75E4"/>
    <w:rsid w:val="24D6564A"/>
    <w:rsid w:val="25427754"/>
    <w:rsid w:val="255F53E5"/>
    <w:rsid w:val="258876D6"/>
    <w:rsid w:val="260B5DD2"/>
    <w:rsid w:val="26412B08"/>
    <w:rsid w:val="26DC39BB"/>
    <w:rsid w:val="27563CF9"/>
    <w:rsid w:val="276E00AB"/>
    <w:rsid w:val="277B097B"/>
    <w:rsid w:val="27AE0FCB"/>
    <w:rsid w:val="284D70A2"/>
    <w:rsid w:val="286C39F2"/>
    <w:rsid w:val="28AC6422"/>
    <w:rsid w:val="28B42D69"/>
    <w:rsid w:val="29C014D9"/>
    <w:rsid w:val="29C658A3"/>
    <w:rsid w:val="2A275B83"/>
    <w:rsid w:val="2AAC5B6A"/>
    <w:rsid w:val="2B002D02"/>
    <w:rsid w:val="2B3031BE"/>
    <w:rsid w:val="2B4D6BBF"/>
    <w:rsid w:val="2B62692F"/>
    <w:rsid w:val="2BB01FD0"/>
    <w:rsid w:val="2BD12A93"/>
    <w:rsid w:val="2BDC35D1"/>
    <w:rsid w:val="2C077516"/>
    <w:rsid w:val="2C3A0580"/>
    <w:rsid w:val="2D5941EF"/>
    <w:rsid w:val="2D731F85"/>
    <w:rsid w:val="2DAE33D9"/>
    <w:rsid w:val="2F1A6289"/>
    <w:rsid w:val="2FB81EC7"/>
    <w:rsid w:val="2FB95E7F"/>
    <w:rsid w:val="302F1CFE"/>
    <w:rsid w:val="30414D46"/>
    <w:rsid w:val="310846A7"/>
    <w:rsid w:val="321A5459"/>
    <w:rsid w:val="33503843"/>
    <w:rsid w:val="33984A50"/>
    <w:rsid w:val="339F5874"/>
    <w:rsid w:val="34546B65"/>
    <w:rsid w:val="34C43ADC"/>
    <w:rsid w:val="354E6353"/>
    <w:rsid w:val="35865C36"/>
    <w:rsid w:val="359E19CE"/>
    <w:rsid w:val="3600246A"/>
    <w:rsid w:val="360170FC"/>
    <w:rsid w:val="36205E13"/>
    <w:rsid w:val="36C030AB"/>
    <w:rsid w:val="36E11EEB"/>
    <w:rsid w:val="36EC070A"/>
    <w:rsid w:val="37C4593D"/>
    <w:rsid w:val="380E6DBC"/>
    <w:rsid w:val="38751ECD"/>
    <w:rsid w:val="388F4851"/>
    <w:rsid w:val="39126EA2"/>
    <w:rsid w:val="39E3088E"/>
    <w:rsid w:val="39E7750E"/>
    <w:rsid w:val="3A3F7A20"/>
    <w:rsid w:val="3A7C7617"/>
    <w:rsid w:val="3B876A51"/>
    <w:rsid w:val="3BE65C79"/>
    <w:rsid w:val="3C5F636C"/>
    <w:rsid w:val="3C78241F"/>
    <w:rsid w:val="3CF46AE2"/>
    <w:rsid w:val="3D9F5E98"/>
    <w:rsid w:val="3E2552A8"/>
    <w:rsid w:val="3E2D284D"/>
    <w:rsid w:val="3E3763DB"/>
    <w:rsid w:val="3E8B686E"/>
    <w:rsid w:val="3F35354A"/>
    <w:rsid w:val="40950743"/>
    <w:rsid w:val="409C2F56"/>
    <w:rsid w:val="412B6448"/>
    <w:rsid w:val="41EA33F2"/>
    <w:rsid w:val="423B7F26"/>
    <w:rsid w:val="427E1192"/>
    <w:rsid w:val="43645843"/>
    <w:rsid w:val="437B5941"/>
    <w:rsid w:val="441866E8"/>
    <w:rsid w:val="443404E8"/>
    <w:rsid w:val="44533AB1"/>
    <w:rsid w:val="44541810"/>
    <w:rsid w:val="4469362B"/>
    <w:rsid w:val="448B7221"/>
    <w:rsid w:val="45043176"/>
    <w:rsid w:val="45514A34"/>
    <w:rsid w:val="45A5668E"/>
    <w:rsid w:val="46D1603D"/>
    <w:rsid w:val="46E57186"/>
    <w:rsid w:val="47473AE9"/>
    <w:rsid w:val="47825E9E"/>
    <w:rsid w:val="494E3A6F"/>
    <w:rsid w:val="497E38E2"/>
    <w:rsid w:val="49B333A9"/>
    <w:rsid w:val="49C82BEB"/>
    <w:rsid w:val="49D45626"/>
    <w:rsid w:val="49F20CEB"/>
    <w:rsid w:val="4A326D66"/>
    <w:rsid w:val="4A6829AE"/>
    <w:rsid w:val="4A9636B8"/>
    <w:rsid w:val="4AC12F1B"/>
    <w:rsid w:val="4ADF1D26"/>
    <w:rsid w:val="4B0E3A35"/>
    <w:rsid w:val="4B235EBE"/>
    <w:rsid w:val="4B591CC8"/>
    <w:rsid w:val="4BC906DB"/>
    <w:rsid w:val="4C314AD0"/>
    <w:rsid w:val="4CD830AE"/>
    <w:rsid w:val="4DC658B1"/>
    <w:rsid w:val="4DFC14E0"/>
    <w:rsid w:val="4E061BED"/>
    <w:rsid w:val="4E232DD8"/>
    <w:rsid w:val="4E3F2A1A"/>
    <w:rsid w:val="4EAA32E4"/>
    <w:rsid w:val="4ED31656"/>
    <w:rsid w:val="4EF47C66"/>
    <w:rsid w:val="4F3037E2"/>
    <w:rsid w:val="4F755B1E"/>
    <w:rsid w:val="4F763B33"/>
    <w:rsid w:val="50A72490"/>
    <w:rsid w:val="50B03065"/>
    <w:rsid w:val="51457E61"/>
    <w:rsid w:val="51B60999"/>
    <w:rsid w:val="52A26D0D"/>
    <w:rsid w:val="52C906B0"/>
    <w:rsid w:val="52EF468A"/>
    <w:rsid w:val="541C7922"/>
    <w:rsid w:val="54676DAF"/>
    <w:rsid w:val="546D3AAD"/>
    <w:rsid w:val="54A66730"/>
    <w:rsid w:val="550A7C51"/>
    <w:rsid w:val="55252261"/>
    <w:rsid w:val="562F2BBB"/>
    <w:rsid w:val="56837E30"/>
    <w:rsid w:val="56CC027B"/>
    <w:rsid w:val="572F1F08"/>
    <w:rsid w:val="57507FCA"/>
    <w:rsid w:val="57656590"/>
    <w:rsid w:val="583813A0"/>
    <w:rsid w:val="585E4EF7"/>
    <w:rsid w:val="58930FAB"/>
    <w:rsid w:val="58BD220A"/>
    <w:rsid w:val="58E00355"/>
    <w:rsid w:val="5A0B0876"/>
    <w:rsid w:val="5A2B4553"/>
    <w:rsid w:val="5A3465B9"/>
    <w:rsid w:val="5A3E6632"/>
    <w:rsid w:val="5A916724"/>
    <w:rsid w:val="5B3672A3"/>
    <w:rsid w:val="5B424A9D"/>
    <w:rsid w:val="5B617FC5"/>
    <w:rsid w:val="5B723A90"/>
    <w:rsid w:val="5B7342D0"/>
    <w:rsid w:val="5BB54F83"/>
    <w:rsid w:val="5C362947"/>
    <w:rsid w:val="5CA42806"/>
    <w:rsid w:val="5CB85872"/>
    <w:rsid w:val="5CD25343"/>
    <w:rsid w:val="5D4D5833"/>
    <w:rsid w:val="5D61369C"/>
    <w:rsid w:val="5D9108AE"/>
    <w:rsid w:val="5DA162C6"/>
    <w:rsid w:val="5E3E6740"/>
    <w:rsid w:val="5E8228EB"/>
    <w:rsid w:val="5EB96CCB"/>
    <w:rsid w:val="5EC61540"/>
    <w:rsid w:val="5ECE5538"/>
    <w:rsid w:val="5F4C3A92"/>
    <w:rsid w:val="5FBA3EC9"/>
    <w:rsid w:val="5FD6157D"/>
    <w:rsid w:val="600E4BBC"/>
    <w:rsid w:val="603C5CB1"/>
    <w:rsid w:val="60615B34"/>
    <w:rsid w:val="607273B1"/>
    <w:rsid w:val="60926896"/>
    <w:rsid w:val="60F17859"/>
    <w:rsid w:val="60F72516"/>
    <w:rsid w:val="616F0CDD"/>
    <w:rsid w:val="61737158"/>
    <w:rsid w:val="61A044CA"/>
    <w:rsid w:val="61A35F87"/>
    <w:rsid w:val="61E456AF"/>
    <w:rsid w:val="61E65E80"/>
    <w:rsid w:val="62C37E62"/>
    <w:rsid w:val="633F0B56"/>
    <w:rsid w:val="63C90847"/>
    <w:rsid w:val="63CF7AB9"/>
    <w:rsid w:val="64A02B48"/>
    <w:rsid w:val="64EE0DB8"/>
    <w:rsid w:val="65B660A1"/>
    <w:rsid w:val="660E3EDA"/>
    <w:rsid w:val="662547A5"/>
    <w:rsid w:val="66682112"/>
    <w:rsid w:val="66F85C09"/>
    <w:rsid w:val="67FB0A57"/>
    <w:rsid w:val="696D4024"/>
    <w:rsid w:val="697F4D73"/>
    <w:rsid w:val="69E63D70"/>
    <w:rsid w:val="6A1967DF"/>
    <w:rsid w:val="6B1746A5"/>
    <w:rsid w:val="6B23487B"/>
    <w:rsid w:val="6BBC17E9"/>
    <w:rsid w:val="6C067E48"/>
    <w:rsid w:val="6C495317"/>
    <w:rsid w:val="6C9533FE"/>
    <w:rsid w:val="6CE96A9F"/>
    <w:rsid w:val="6D260BCD"/>
    <w:rsid w:val="6D836653"/>
    <w:rsid w:val="6DE37CBE"/>
    <w:rsid w:val="6E0B5CBC"/>
    <w:rsid w:val="6E6909C4"/>
    <w:rsid w:val="6E7F2DD0"/>
    <w:rsid w:val="6ED72A20"/>
    <w:rsid w:val="6F036E05"/>
    <w:rsid w:val="6F224D4F"/>
    <w:rsid w:val="6F4D49CA"/>
    <w:rsid w:val="6FAB0778"/>
    <w:rsid w:val="6FE81E41"/>
    <w:rsid w:val="70803FE0"/>
    <w:rsid w:val="713730EA"/>
    <w:rsid w:val="716D1B59"/>
    <w:rsid w:val="716E40B1"/>
    <w:rsid w:val="717A1031"/>
    <w:rsid w:val="722961C7"/>
    <w:rsid w:val="72B665CC"/>
    <w:rsid w:val="735D4079"/>
    <w:rsid w:val="743F62C0"/>
    <w:rsid w:val="74C70628"/>
    <w:rsid w:val="74CD20D1"/>
    <w:rsid w:val="75057999"/>
    <w:rsid w:val="750847C8"/>
    <w:rsid w:val="751848E4"/>
    <w:rsid w:val="75383148"/>
    <w:rsid w:val="75CC21C4"/>
    <w:rsid w:val="76A53D40"/>
    <w:rsid w:val="76E81A6E"/>
    <w:rsid w:val="76EA2E40"/>
    <w:rsid w:val="775A4DC5"/>
    <w:rsid w:val="782D08F4"/>
    <w:rsid w:val="783A765B"/>
    <w:rsid w:val="789D1AE7"/>
    <w:rsid w:val="797B781B"/>
    <w:rsid w:val="79D229D8"/>
    <w:rsid w:val="79DD222A"/>
    <w:rsid w:val="79E37161"/>
    <w:rsid w:val="7A1F5F35"/>
    <w:rsid w:val="7A304066"/>
    <w:rsid w:val="7B6E02C2"/>
    <w:rsid w:val="7B925D52"/>
    <w:rsid w:val="7CBA20F5"/>
    <w:rsid w:val="7CCD535A"/>
    <w:rsid w:val="7CCE6BEA"/>
    <w:rsid w:val="7CDC07DA"/>
    <w:rsid w:val="7D1D5813"/>
    <w:rsid w:val="7D263F3F"/>
    <w:rsid w:val="7DE20F03"/>
    <w:rsid w:val="7E0A75FB"/>
    <w:rsid w:val="7E535B12"/>
    <w:rsid w:val="7EF81F90"/>
    <w:rsid w:val="7F441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link w:val="7"/>
    <w:semiHidden/>
    <w:qFormat/>
    <w:uiPriority w:val="0"/>
    <w:rPr>
      <w:rFonts w:ascii="Tahoma" w:hAnsi="Tahoma"/>
      <w:sz w:val="24"/>
      <w:szCs w:val="20"/>
    </w:rPr>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默认段落字体 Para Char Char Char Char Char Char Char"/>
    <w:basedOn w:val="1"/>
    <w:link w:val="6"/>
    <w:qFormat/>
    <w:uiPriority w:val="0"/>
    <w:rPr>
      <w:rFonts w:ascii="Tahoma" w:hAnsi="Tahoma"/>
      <w:sz w:val="24"/>
      <w:szCs w:val="20"/>
    </w:rPr>
  </w:style>
  <w:style w:type="paragraph" w:customStyle="1" w:styleId="8">
    <w:name w:val="s3"/>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bumpedfont15"/>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广西壮族自治区水土保持监测站</Company>
  <Pages>1</Pages>
  <Words>0</Words>
  <Characters>0</Characters>
  <Lines>0</Lines>
  <Paragraphs>0</Paragraphs>
  <TotalTime>80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2020-05-21T01:40:00Z</dcterms:created>
  <dc:creator>yhhe</dc:creator>
  <cp:lastModifiedBy>DIY</cp:lastModifiedBy>
  <cp:lastPrinted>2021-12-27T02:15:00Z</cp:lastPrinted>
  <dcterms:modified xsi:type="dcterms:W3CDTF">2021-12-30T08:59:46Z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BD935A823F954D46808B9BC9664682E4</vt:lpwstr>
  </property>
</Properties>
</file>