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小标宋_GBK" w:hAnsi="方正小标宋_GBK" w:eastAsia="方正小标宋_GBK" w:cs="方正小标宋_GBK"/>
          <w:kern w:val="0"/>
          <w:sz w:val="44"/>
          <w:szCs w:val="44"/>
          <w:lang w:val="en-US" w:eastAsia="zh-CN" w:bidi="ar"/>
        </w:rPr>
      </w:pP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小标宋_GBK" w:hAnsi="方正小标宋_GBK" w:eastAsia="方正小标宋_GBK" w:cs="方正小标宋_GBK"/>
          <w:kern w:val="0"/>
          <w:sz w:val="44"/>
          <w:szCs w:val="44"/>
          <w:lang w:val="en-US" w:eastAsia="zh-CN" w:bidi="ar"/>
        </w:rPr>
      </w:pPr>
      <w:r>
        <w:rPr>
          <w:rFonts w:hint="eastAsia" w:ascii="方正小标宋_GBK" w:hAnsi="方正小标宋_GBK" w:eastAsia="方正小标宋_GBK" w:cs="方正小标宋_GBK"/>
          <w:kern w:val="0"/>
          <w:sz w:val="44"/>
          <w:szCs w:val="44"/>
          <w:lang w:val="en-US" w:eastAsia="zh-CN" w:bidi="ar"/>
        </w:rPr>
        <w:t>自然资源部关于发布《工业项目建设</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小标宋_GBK" w:hAnsi="方正小标宋_GBK" w:eastAsia="方正小标宋_GBK"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用地控制指标》的通知</w:t>
      </w: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楷体_GB2312" w:hAnsi="楷体_GB2312" w:eastAsia="楷体_GB2312" w:cs="楷体_GB2312"/>
          <w:kern w:val="0"/>
          <w:sz w:val="32"/>
          <w:szCs w:val="32"/>
          <w:lang w:val="en-US"/>
        </w:rPr>
      </w:pPr>
      <w:r>
        <w:rPr>
          <w:rFonts w:hint="eastAsia" w:ascii="楷体_GB2312" w:hAnsi="楷体_GB2312" w:eastAsia="楷体_GB2312" w:cs="楷体_GB2312"/>
          <w:b/>
          <w:kern w:val="0"/>
          <w:sz w:val="32"/>
          <w:szCs w:val="32"/>
          <w:lang w:val="en-US" w:eastAsia="zh-CN" w:bidi="ar"/>
        </w:rPr>
        <w:t>（征求意见稿）</w:t>
      </w: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jc w:val="both"/>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各省、自治区、直辖市自然资源主管部门，新疆生产建设兵团自然资源局：</w:t>
      </w: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firstLine="560"/>
        <w:jc w:val="both"/>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为规范工业项目建设用地管理，促进土地资源节约集约和高效利用，自然资源部对</w:t>
      </w:r>
      <w:r>
        <w:rPr>
          <w:rFonts w:hint="eastAsia" w:ascii="Times New Roman" w:hAnsi="Times New Roman" w:eastAsia="仿宋_GB2312" w:cs="Times New Roman"/>
          <w:kern w:val="0"/>
          <w:sz w:val="32"/>
          <w:szCs w:val="32"/>
          <w:lang w:val="en-US" w:eastAsia="zh-CN" w:bidi="ar"/>
        </w:rPr>
        <w:t>2008年发布的</w:t>
      </w:r>
      <w:r>
        <w:rPr>
          <w:rFonts w:hint="default" w:ascii="Times New Roman" w:hAnsi="Times New Roman" w:eastAsia="仿宋_GB2312" w:cs="Times New Roman"/>
          <w:kern w:val="0"/>
          <w:sz w:val="32"/>
          <w:szCs w:val="32"/>
          <w:lang w:val="en-US" w:eastAsia="zh-CN" w:bidi="ar"/>
        </w:rPr>
        <w:t>《工业项目建设用地控制指标》</w:t>
      </w:r>
      <w:r>
        <w:rPr>
          <w:rFonts w:hint="eastAsia" w:ascii="Times New Roman" w:hAnsi="Times New Roman" w:eastAsia="仿宋_GB2312" w:cs="Times New Roman"/>
          <w:kern w:val="0"/>
          <w:sz w:val="32"/>
          <w:szCs w:val="32"/>
          <w:lang w:val="en-US" w:eastAsia="zh-CN" w:bidi="ar"/>
        </w:rPr>
        <w:t>进行了</w:t>
      </w:r>
      <w:r>
        <w:rPr>
          <w:rFonts w:hint="default" w:ascii="Times New Roman" w:hAnsi="Times New Roman" w:eastAsia="仿宋_GB2312" w:cs="Times New Roman"/>
          <w:kern w:val="0"/>
          <w:sz w:val="32"/>
          <w:szCs w:val="32"/>
          <w:lang w:val="en-US" w:eastAsia="zh-CN" w:bidi="ar"/>
        </w:rPr>
        <w:t>修订</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现将修订后的《工业项目建设用地控制指标》（以下简称《控制指标》）发布，请认真贯彻执行。</w:t>
      </w: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firstLine="640" w:firstLineChars="200"/>
        <w:jc w:val="both"/>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一、调整指标体系</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《控制指标》由规范性指标和推荐性指标组成。规范性指标包括容积率、建筑系数、行政办公及生活服务设施用地所占比重</w:t>
      </w:r>
      <w:r>
        <w:rPr>
          <w:rFonts w:hint="eastAsia" w:ascii="Times New Roman" w:hAnsi="Times New Roman" w:eastAsia="仿宋_GB2312" w:cs="Times New Roman"/>
          <w:kern w:val="0"/>
          <w:sz w:val="32"/>
          <w:szCs w:val="32"/>
          <w:lang w:val="en-US" w:eastAsia="zh-CN" w:bidi="ar"/>
        </w:rPr>
        <w:t>等</w:t>
      </w:r>
      <w:r>
        <w:rPr>
          <w:rFonts w:hint="default" w:ascii="Times New Roman" w:hAnsi="Times New Roman" w:eastAsia="仿宋_GB2312" w:cs="Times New Roman"/>
          <w:kern w:val="0"/>
          <w:sz w:val="32"/>
          <w:szCs w:val="32"/>
          <w:lang w:val="en-US" w:eastAsia="zh-CN" w:bidi="ar"/>
        </w:rPr>
        <w:t>3项，</w:t>
      </w:r>
      <w:r>
        <w:rPr>
          <w:rFonts w:hint="eastAsia" w:ascii="Times New Roman" w:hAnsi="Times New Roman" w:eastAsia="仿宋_GB2312" w:cs="Times New Roman"/>
          <w:kern w:val="0"/>
          <w:sz w:val="32"/>
          <w:szCs w:val="32"/>
          <w:lang w:val="en-US" w:eastAsia="zh-CN" w:bidi="ar"/>
        </w:rPr>
        <w:t>由部确定</w:t>
      </w:r>
      <w:r>
        <w:rPr>
          <w:rFonts w:hint="default" w:ascii="Times New Roman" w:hAnsi="Times New Roman" w:eastAsia="仿宋_GB2312" w:cs="Times New Roman"/>
          <w:kern w:val="0"/>
          <w:sz w:val="32"/>
          <w:szCs w:val="32"/>
          <w:lang w:val="en-US" w:eastAsia="zh-CN" w:bidi="ar"/>
        </w:rPr>
        <w:t>控制值。推荐性指标包括固定资产投资</w:t>
      </w:r>
      <w:r>
        <w:rPr>
          <w:rFonts w:hint="eastAsia" w:ascii="仿宋_GB2312" w:hAnsi="仿宋_GB2312" w:eastAsia="仿宋_GB2312" w:cs="仿宋_GB2312"/>
          <w:kern w:val="0"/>
          <w:sz w:val="32"/>
          <w:szCs w:val="32"/>
          <w:lang w:val="en-US" w:eastAsia="zh-CN" w:bidi="ar"/>
        </w:rPr>
        <w:t>强度</w:t>
      </w:r>
      <w:r>
        <w:rPr>
          <w:rFonts w:hint="default" w:ascii="Times New Roman" w:hAnsi="Times New Roman" w:eastAsia="仿宋_GB2312" w:cs="Times New Roman"/>
          <w:kern w:val="0"/>
          <w:sz w:val="32"/>
          <w:szCs w:val="32"/>
          <w:lang w:val="en-US" w:eastAsia="zh-CN" w:bidi="ar"/>
        </w:rPr>
        <w:t>、土地产出率、土地税收</w:t>
      </w:r>
      <w:r>
        <w:rPr>
          <w:rFonts w:hint="eastAsia" w:ascii="Times New Roman" w:hAnsi="Times New Roman" w:eastAsia="仿宋_GB2312" w:cs="Times New Roman"/>
          <w:kern w:val="0"/>
          <w:sz w:val="32"/>
          <w:szCs w:val="32"/>
          <w:lang w:val="en-US" w:eastAsia="zh-CN" w:bidi="ar"/>
        </w:rPr>
        <w:t>等</w:t>
      </w:r>
      <w:r>
        <w:rPr>
          <w:rFonts w:hint="default" w:ascii="Times New Roman" w:hAnsi="Times New Roman" w:eastAsia="仿宋_GB2312" w:cs="Times New Roman"/>
          <w:kern w:val="0"/>
          <w:sz w:val="32"/>
          <w:szCs w:val="32"/>
          <w:lang w:val="en-US" w:eastAsia="zh-CN" w:bidi="ar"/>
        </w:rPr>
        <w:t>3项，</w:t>
      </w:r>
      <w:r>
        <w:rPr>
          <w:rFonts w:hint="eastAsia" w:ascii="Times New Roman" w:hAnsi="Times New Roman" w:eastAsia="仿宋_GB2312" w:cs="Times New Roman"/>
          <w:kern w:val="0"/>
          <w:sz w:val="32"/>
          <w:szCs w:val="32"/>
          <w:lang w:val="en-US" w:eastAsia="zh-CN" w:bidi="ar"/>
        </w:rPr>
        <w:t>部制定了</w:t>
      </w:r>
      <w:r>
        <w:rPr>
          <w:rFonts w:hint="default" w:ascii="Times New Roman" w:hAnsi="Times New Roman" w:eastAsia="仿宋_GB2312" w:cs="Times New Roman"/>
          <w:kern w:val="0"/>
          <w:sz w:val="32"/>
          <w:szCs w:val="32"/>
          <w:lang w:val="en-US" w:eastAsia="zh-CN" w:bidi="ar"/>
        </w:rPr>
        <w:t>固定资产投资</w:t>
      </w:r>
      <w:r>
        <w:rPr>
          <w:rFonts w:hint="eastAsia" w:ascii="仿宋_GB2312" w:hAnsi="仿宋_GB2312" w:eastAsia="仿宋_GB2312" w:cs="仿宋_GB2312"/>
          <w:kern w:val="0"/>
          <w:sz w:val="32"/>
          <w:szCs w:val="32"/>
          <w:lang w:val="en-US" w:eastAsia="zh-CN" w:bidi="ar"/>
        </w:rPr>
        <w:t>强度</w:t>
      </w:r>
      <w:r>
        <w:rPr>
          <w:rFonts w:hint="default" w:ascii="Times New Roman" w:hAnsi="Times New Roman" w:eastAsia="仿宋_GB2312" w:cs="Times New Roman"/>
          <w:kern w:val="0"/>
          <w:sz w:val="32"/>
          <w:szCs w:val="32"/>
          <w:lang w:val="en-US" w:eastAsia="zh-CN" w:bidi="ar"/>
        </w:rPr>
        <w:t>的推荐值，各地</w:t>
      </w:r>
      <w:r>
        <w:rPr>
          <w:rFonts w:hint="eastAsia" w:ascii="Times New Roman" w:hAnsi="Times New Roman" w:eastAsia="仿宋_GB2312" w:cs="Times New Roman"/>
          <w:kern w:val="0"/>
          <w:sz w:val="32"/>
          <w:szCs w:val="32"/>
          <w:lang w:val="en-US" w:eastAsia="zh-CN" w:bidi="ar"/>
        </w:rPr>
        <w:t>可根据实际选择全部或部分推荐性指标，制定</w:t>
      </w:r>
      <w:r>
        <w:rPr>
          <w:rFonts w:hint="default" w:ascii="Times New Roman" w:hAnsi="Times New Roman" w:eastAsia="仿宋_GB2312" w:cs="Times New Roman"/>
          <w:kern w:val="0"/>
          <w:sz w:val="32"/>
          <w:szCs w:val="32"/>
          <w:lang w:val="en-US" w:eastAsia="zh-CN" w:bidi="ar"/>
        </w:rPr>
        <w:t>控制值</w:t>
      </w:r>
      <w:r>
        <w:rPr>
          <w:rFonts w:hint="eastAsia" w:ascii="Times New Roman" w:hAnsi="Times New Roman" w:eastAsia="仿宋_GB2312" w:cs="Times New Roman"/>
          <w:kern w:val="0"/>
          <w:sz w:val="32"/>
          <w:szCs w:val="32"/>
          <w:lang w:val="en-US" w:eastAsia="zh-CN" w:bidi="ar"/>
        </w:rPr>
        <w:t>后纳入规范性指标在本地实施</w:t>
      </w:r>
      <w:r>
        <w:rPr>
          <w:rFonts w:hint="default" w:ascii="Times New Roman" w:hAnsi="Times New Roman" w:eastAsia="仿宋_GB2312" w:cs="Times New Roman"/>
          <w:kern w:val="0"/>
          <w:sz w:val="32"/>
          <w:szCs w:val="32"/>
          <w:lang w:val="en-US" w:eastAsia="zh-CN" w:bidi="ar"/>
        </w:rPr>
        <w:t>。</w:t>
      </w:r>
      <w:r>
        <w:rPr>
          <w:rFonts w:hint="eastAsia" w:ascii="Times New Roman" w:hAnsi="Times New Roman" w:eastAsia="仿宋_GB2312" w:cs="Times New Roman"/>
          <w:kern w:val="0"/>
          <w:sz w:val="32"/>
          <w:szCs w:val="32"/>
          <w:lang w:val="en-US" w:eastAsia="zh-CN" w:bidi="ar"/>
        </w:rPr>
        <w:t>《控制指标》覆盖</w:t>
      </w:r>
      <w:r>
        <w:rPr>
          <w:rFonts w:hint="default" w:ascii="Times New Roman" w:hAnsi="Times New Roman" w:eastAsia="仿宋_GB2312" w:cs="Times New Roman"/>
          <w:kern w:val="0"/>
          <w:sz w:val="32"/>
          <w:szCs w:val="32"/>
          <w:lang w:val="en-US" w:eastAsia="zh-CN" w:bidi="ar"/>
        </w:rPr>
        <w:t>城乡</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适用于国有土地上的工业项目建设，集体土地上的工业项目建设</w:t>
      </w:r>
      <w:r>
        <w:rPr>
          <w:rFonts w:hint="eastAsia" w:ascii="Times New Roman" w:hAnsi="Times New Roman" w:eastAsia="仿宋_GB2312" w:cs="Times New Roman"/>
          <w:kern w:val="0"/>
          <w:sz w:val="32"/>
          <w:szCs w:val="32"/>
          <w:lang w:val="en-US" w:eastAsia="zh-CN" w:bidi="ar"/>
        </w:rPr>
        <w:t>可参照</w:t>
      </w:r>
      <w:r>
        <w:rPr>
          <w:rFonts w:hint="default" w:ascii="Times New Roman" w:hAnsi="Times New Roman" w:eastAsia="仿宋_GB2312" w:cs="Times New Roman"/>
          <w:kern w:val="0"/>
          <w:sz w:val="32"/>
          <w:szCs w:val="32"/>
          <w:lang w:val="en-US" w:eastAsia="zh-CN" w:bidi="ar"/>
        </w:rPr>
        <w:t>执行。</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各省（区、市）自然资源主管部门以及有条件的市</w:t>
      </w:r>
      <w:r>
        <w:rPr>
          <w:rFonts w:hint="eastAsia" w:ascii="Times New Roman" w:hAnsi="Times New Roman" w:eastAsia="仿宋_GB2312" w:cs="Times New Roman"/>
          <w:kern w:val="0"/>
          <w:sz w:val="32"/>
          <w:szCs w:val="32"/>
          <w:lang w:val="en-US" w:eastAsia="zh-CN" w:bidi="ar"/>
        </w:rPr>
        <w:t>级</w:t>
      </w:r>
      <w:r>
        <w:rPr>
          <w:rFonts w:hint="default" w:ascii="Times New Roman" w:hAnsi="Times New Roman" w:eastAsia="仿宋_GB2312" w:cs="Times New Roman"/>
          <w:kern w:val="0"/>
          <w:sz w:val="32"/>
          <w:szCs w:val="32"/>
          <w:lang w:val="en-US" w:eastAsia="zh-CN" w:bidi="ar"/>
        </w:rPr>
        <w:t>自然资源主管部门，应会同同级产业等</w:t>
      </w:r>
      <w:r>
        <w:rPr>
          <w:rFonts w:hint="eastAsia" w:ascii="Times New Roman" w:hAnsi="Times New Roman" w:eastAsia="仿宋_GB2312" w:cs="Times New Roman"/>
          <w:kern w:val="0"/>
          <w:sz w:val="32"/>
          <w:szCs w:val="32"/>
          <w:lang w:val="en-US" w:eastAsia="zh-CN" w:bidi="ar"/>
        </w:rPr>
        <w:t>相关</w:t>
      </w:r>
      <w:r>
        <w:rPr>
          <w:rFonts w:hint="default" w:ascii="Times New Roman" w:hAnsi="Times New Roman" w:eastAsia="仿宋_GB2312" w:cs="Times New Roman"/>
          <w:kern w:val="0"/>
          <w:sz w:val="32"/>
          <w:szCs w:val="32"/>
          <w:lang w:val="en-US" w:eastAsia="zh-CN" w:bidi="ar"/>
        </w:rPr>
        <w:t>部门，制定本省</w:t>
      </w:r>
      <w:r>
        <w:rPr>
          <w:rFonts w:hint="eastAsia" w:ascii="Times New Roman" w:hAnsi="Times New Roman" w:eastAsia="仿宋_GB2312" w:cs="Times New Roman"/>
          <w:kern w:val="0"/>
          <w:sz w:val="32"/>
          <w:szCs w:val="32"/>
          <w:lang w:val="en-US" w:eastAsia="zh-CN" w:bidi="ar"/>
        </w:rPr>
        <w:t>（区、市）以及本</w:t>
      </w:r>
      <w:r>
        <w:rPr>
          <w:rFonts w:hint="default" w:ascii="Times New Roman" w:hAnsi="Times New Roman" w:eastAsia="仿宋_GB2312" w:cs="Times New Roman"/>
          <w:kern w:val="0"/>
          <w:sz w:val="32"/>
          <w:szCs w:val="32"/>
          <w:lang w:val="en-US" w:eastAsia="zh-CN" w:bidi="ar"/>
        </w:rPr>
        <w:t>市工业项目建设用地控制指标</w:t>
      </w:r>
      <w:r>
        <w:rPr>
          <w:rFonts w:hint="eastAsia" w:ascii="Times New Roman" w:hAnsi="Times New Roman" w:eastAsia="仿宋_GB2312" w:cs="Times New Roman"/>
          <w:kern w:val="0"/>
          <w:sz w:val="32"/>
          <w:szCs w:val="32"/>
          <w:lang w:val="en-US" w:eastAsia="zh-CN" w:bidi="ar"/>
        </w:rPr>
        <w:t>，并报部备案</w:t>
      </w:r>
      <w:r>
        <w:rPr>
          <w:rFonts w:hint="default" w:ascii="Times New Roman" w:hAnsi="Times New Roman" w:eastAsia="仿宋_GB2312" w:cs="Times New Roman"/>
          <w:kern w:val="0"/>
          <w:sz w:val="32"/>
          <w:szCs w:val="32"/>
          <w:lang w:val="en-US" w:eastAsia="zh-CN" w:bidi="ar"/>
        </w:rPr>
        <w:t>。其中，容积率、建筑系数的控制值原则上不低于《控制指标》</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行政办公及生活服务设施所占比重原则上不高于《控制指标》</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推荐性指标的控制值应</w:t>
      </w:r>
      <w:r>
        <w:rPr>
          <w:rFonts w:hint="eastAsia" w:ascii="Times New Roman" w:hAnsi="Times New Roman" w:eastAsia="仿宋_GB2312" w:cs="Times New Roman"/>
          <w:kern w:val="0"/>
          <w:sz w:val="32"/>
          <w:szCs w:val="32"/>
          <w:lang w:val="en-US" w:eastAsia="zh-CN" w:bidi="ar"/>
        </w:rPr>
        <w:t>结合本地区城乡经济发展水平，</w:t>
      </w:r>
      <w:r>
        <w:rPr>
          <w:rFonts w:hint="default" w:ascii="Times New Roman" w:hAnsi="Times New Roman" w:eastAsia="仿宋_GB2312" w:cs="Times New Roman"/>
          <w:kern w:val="0"/>
          <w:sz w:val="32"/>
          <w:szCs w:val="32"/>
          <w:lang w:val="en-US" w:eastAsia="zh-CN" w:bidi="ar"/>
        </w:rPr>
        <w:t>兼顾大中小企业投入产出</w:t>
      </w:r>
      <w:r>
        <w:rPr>
          <w:rFonts w:hint="eastAsia" w:ascii="Times New Roman" w:hAnsi="Times New Roman" w:eastAsia="仿宋_GB2312" w:cs="Times New Roman"/>
          <w:kern w:val="0"/>
          <w:sz w:val="32"/>
          <w:szCs w:val="32"/>
          <w:lang w:val="en-US" w:eastAsia="zh-CN" w:bidi="ar"/>
        </w:rPr>
        <w:t>状况。已出台地方工业项目建设用地控制指标且规范性指标已达到要求的，可先报部备案，再适时修订；暂时未制定地方工业项目建设用地控制指标的，应先按照《控制指标》执行。</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640" w:firstLineChars="200"/>
        <w:jc w:val="left"/>
        <w:textAlignment w:val="auto"/>
        <w:rPr>
          <w:rFonts w:hint="eastAsia" w:ascii="Times New Roman" w:hAnsi="Times New Roman" w:eastAsia="仿宋_GB2312" w:cs="Times New Roman"/>
          <w:kern w:val="0"/>
          <w:sz w:val="32"/>
          <w:szCs w:val="32"/>
          <w:lang w:val="en-US" w:eastAsia="zh-CN" w:bidi="ar"/>
        </w:rPr>
      </w:pPr>
      <w:r>
        <w:rPr>
          <w:rFonts w:hint="eastAsia" w:ascii="黑体" w:hAnsi="黑体" w:eastAsia="黑体" w:cs="黑体"/>
          <w:kern w:val="0"/>
          <w:sz w:val="32"/>
          <w:szCs w:val="32"/>
          <w:lang w:val="en-US" w:eastAsia="zh-CN" w:bidi="ar"/>
        </w:rPr>
        <w:t>二、严格执行《控制指标》</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640" w:firstLineChars="200"/>
        <w:jc w:val="left"/>
        <w:textAlignment w:val="auto"/>
        <w:rPr>
          <w:rFonts w:hint="default" w:ascii="Times New Roman" w:hAnsi="Times New Roman" w:eastAsia="仿宋_GB2312" w:cs="Times New Roman"/>
          <w:kern w:val="2"/>
          <w:sz w:val="32"/>
          <w:szCs w:val="32"/>
          <w:lang w:val="en-US" w:eastAsia="zh-CN" w:bidi="ar"/>
        </w:rPr>
      </w:pPr>
      <w:r>
        <w:rPr>
          <w:rFonts w:hint="eastAsia" w:ascii="Times New Roman" w:hAnsi="Times New Roman" w:eastAsia="仿宋_GB2312" w:cs="Times New Roman"/>
          <w:kern w:val="0"/>
          <w:sz w:val="32"/>
          <w:szCs w:val="32"/>
          <w:lang w:val="en-US" w:eastAsia="zh-CN" w:bidi="ar"/>
        </w:rPr>
        <w:t>《控制指标》</w:t>
      </w:r>
      <w:r>
        <w:rPr>
          <w:rFonts w:hint="default" w:ascii="Times New Roman" w:hAnsi="Times New Roman" w:eastAsia="仿宋_GB2312" w:cs="Times New Roman"/>
          <w:kern w:val="0"/>
          <w:sz w:val="32"/>
          <w:szCs w:val="32"/>
          <w:lang w:val="en-US" w:eastAsia="zh-CN" w:bidi="ar"/>
        </w:rPr>
        <w:t>是核定工业项目用地规模</w:t>
      </w:r>
      <w:r>
        <w:rPr>
          <w:rFonts w:hint="eastAsia" w:ascii="Times New Roman" w:hAnsi="Times New Roman" w:eastAsia="仿宋_GB2312" w:cs="Times New Roman"/>
          <w:kern w:val="0"/>
          <w:sz w:val="32"/>
          <w:szCs w:val="32"/>
          <w:lang w:val="en-US" w:eastAsia="zh-CN" w:bidi="ar"/>
        </w:rPr>
        <w:t>、评价工业用地利用效率</w:t>
      </w:r>
      <w:r>
        <w:rPr>
          <w:rFonts w:hint="default" w:ascii="Times New Roman" w:hAnsi="Times New Roman" w:eastAsia="仿宋_GB2312" w:cs="Times New Roman"/>
          <w:kern w:val="0"/>
          <w:sz w:val="32"/>
          <w:szCs w:val="32"/>
          <w:lang w:val="en-US" w:eastAsia="zh-CN" w:bidi="ar"/>
        </w:rPr>
        <w:t>的重要标准，</w:t>
      </w:r>
      <w:r>
        <w:rPr>
          <w:rFonts w:hint="eastAsia" w:ascii="Times New Roman" w:hAnsi="Times New Roman" w:eastAsia="仿宋_GB2312" w:cs="Times New Roman"/>
          <w:kern w:val="0"/>
          <w:sz w:val="32"/>
          <w:szCs w:val="32"/>
          <w:lang w:val="en-US" w:eastAsia="zh-CN" w:bidi="ar"/>
        </w:rPr>
        <w:t>新建、改建工业项目均应严格执行</w:t>
      </w:r>
      <w:r>
        <w:rPr>
          <w:rFonts w:hint="default" w:ascii="Times New Roman" w:hAnsi="Times New Roman" w:eastAsia="仿宋_GB2312" w:cs="Times New Roman"/>
          <w:kern w:val="0"/>
          <w:sz w:val="32"/>
          <w:szCs w:val="32"/>
          <w:lang w:val="en-US" w:eastAsia="zh-CN" w:bidi="ar"/>
        </w:rPr>
        <w:t>《控制指标》及相关工程项目建设用地指标</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按照工业用地落实</w:t>
      </w:r>
      <w:r>
        <w:rPr>
          <w:rFonts w:hint="eastAsia" w:ascii="Times New Roman" w:hAnsi="Times New Roman" w:eastAsia="仿宋_GB2312" w:cs="Times New Roman"/>
          <w:kern w:val="0"/>
          <w:sz w:val="32"/>
          <w:szCs w:val="32"/>
          <w:lang w:val="en-US" w:eastAsia="zh-CN" w:bidi="ar"/>
        </w:rPr>
        <w:t>土地</w:t>
      </w:r>
      <w:r>
        <w:rPr>
          <w:rFonts w:hint="default" w:ascii="Times New Roman" w:hAnsi="Times New Roman" w:eastAsia="仿宋_GB2312" w:cs="Times New Roman"/>
          <w:kern w:val="0"/>
          <w:sz w:val="32"/>
          <w:szCs w:val="32"/>
          <w:lang w:val="en-US" w:eastAsia="zh-CN" w:bidi="ar"/>
        </w:rPr>
        <w:t>用途</w:t>
      </w:r>
      <w:r>
        <w:rPr>
          <w:rFonts w:hint="eastAsia" w:ascii="Times New Roman" w:hAnsi="Times New Roman" w:eastAsia="仿宋_GB2312" w:cs="Times New Roman"/>
          <w:kern w:val="0"/>
          <w:sz w:val="32"/>
          <w:szCs w:val="32"/>
          <w:lang w:val="en-US" w:eastAsia="zh-CN" w:bidi="ar"/>
        </w:rPr>
        <w:t>的</w:t>
      </w:r>
      <w:r>
        <w:rPr>
          <w:rFonts w:hint="default" w:ascii="Times New Roman" w:hAnsi="Times New Roman" w:eastAsia="仿宋_GB2312" w:cs="Times New Roman"/>
          <w:kern w:val="0"/>
          <w:sz w:val="32"/>
          <w:szCs w:val="32"/>
          <w:lang w:val="en-US" w:eastAsia="zh-CN" w:bidi="ar"/>
        </w:rPr>
        <w:t>战略性新兴产业</w:t>
      </w:r>
      <w:r>
        <w:rPr>
          <w:rFonts w:hint="eastAsia" w:ascii="Times New Roman" w:hAnsi="Times New Roman" w:eastAsia="仿宋_GB2312" w:cs="Times New Roman"/>
          <w:kern w:val="0"/>
          <w:sz w:val="32"/>
          <w:szCs w:val="32"/>
          <w:lang w:val="en-US" w:eastAsia="zh-CN" w:bidi="ar"/>
        </w:rPr>
        <w:t>、先进制造业项目，也应严格执行《控制指标》</w:t>
      </w:r>
      <w:r>
        <w:rPr>
          <w:rFonts w:hint="default" w:ascii="Times New Roman" w:hAnsi="Times New Roman" w:eastAsia="仿宋_GB2312" w:cs="Times New Roman"/>
          <w:kern w:val="0"/>
          <w:sz w:val="32"/>
          <w:szCs w:val="32"/>
          <w:lang w:val="en-US" w:eastAsia="zh-CN" w:bidi="ar"/>
        </w:rPr>
        <w:t>。</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各级自然资源主管部门对不符合《控制指标》</w:t>
      </w:r>
      <w:r>
        <w:rPr>
          <w:rFonts w:hint="eastAsia" w:ascii="Times New Roman" w:hAnsi="Times New Roman" w:eastAsia="仿宋_GB2312" w:cs="Times New Roman"/>
          <w:kern w:val="0"/>
          <w:sz w:val="32"/>
          <w:szCs w:val="32"/>
          <w:lang w:val="en-US" w:eastAsia="zh-CN" w:bidi="ar"/>
        </w:rPr>
        <w:t>规范性指标</w:t>
      </w:r>
      <w:r>
        <w:rPr>
          <w:rFonts w:hint="default" w:ascii="Times New Roman" w:hAnsi="Times New Roman" w:eastAsia="仿宋_GB2312" w:cs="Times New Roman"/>
          <w:kern w:val="0"/>
          <w:sz w:val="32"/>
          <w:szCs w:val="32"/>
          <w:lang w:val="en-US" w:eastAsia="zh-CN" w:bidi="ar"/>
        </w:rPr>
        <w:t>要求的工业项目，</w:t>
      </w:r>
      <w:r>
        <w:rPr>
          <w:rFonts w:hint="eastAsia" w:ascii="Times New Roman" w:hAnsi="Times New Roman" w:eastAsia="仿宋_GB2312" w:cs="Times New Roman"/>
          <w:kern w:val="0"/>
          <w:sz w:val="32"/>
          <w:szCs w:val="32"/>
          <w:lang w:val="en-US" w:eastAsia="zh-CN" w:bidi="ar"/>
        </w:rPr>
        <w:t>应</w:t>
      </w:r>
      <w:r>
        <w:rPr>
          <w:rFonts w:hint="default" w:ascii="Times New Roman" w:hAnsi="Times New Roman" w:eastAsia="仿宋_GB2312" w:cs="Times New Roman"/>
          <w:kern w:val="0"/>
          <w:sz w:val="32"/>
          <w:szCs w:val="32"/>
          <w:lang w:val="en-US" w:eastAsia="zh-CN" w:bidi="ar"/>
        </w:rPr>
        <w:t>不予供地或对项目用地面积予以核减。因安全生产、地形地貌、工艺技术等有特殊要求确需突破《控制指标》</w:t>
      </w:r>
      <w:r>
        <w:rPr>
          <w:rFonts w:hint="eastAsia" w:ascii="Times New Roman" w:hAnsi="Times New Roman" w:eastAsia="仿宋_GB2312" w:cs="Times New Roman"/>
          <w:kern w:val="0"/>
          <w:sz w:val="32"/>
          <w:szCs w:val="32"/>
          <w:lang w:val="en-US" w:eastAsia="zh-CN" w:bidi="ar"/>
        </w:rPr>
        <w:t>规范性指标要求</w:t>
      </w:r>
      <w:r>
        <w:rPr>
          <w:rFonts w:hint="default" w:ascii="Times New Roman" w:hAnsi="Times New Roman" w:eastAsia="仿宋_GB2312" w:cs="Times New Roman"/>
          <w:kern w:val="0"/>
          <w:sz w:val="32"/>
          <w:szCs w:val="32"/>
          <w:lang w:val="en-US" w:eastAsia="zh-CN" w:bidi="ar"/>
        </w:rPr>
        <w:t>的</w:t>
      </w:r>
      <w:r>
        <w:rPr>
          <w:rFonts w:hint="eastAsia" w:ascii="Times New Roman" w:hAnsi="Times New Roman" w:eastAsia="仿宋_GB2312" w:cs="Times New Roman"/>
          <w:kern w:val="0"/>
          <w:sz w:val="32"/>
          <w:szCs w:val="32"/>
          <w:lang w:val="en-US" w:eastAsia="zh-CN" w:bidi="ar"/>
        </w:rPr>
        <w:t>工业</w:t>
      </w:r>
      <w:r>
        <w:rPr>
          <w:rFonts w:hint="default" w:ascii="Times New Roman" w:hAnsi="Times New Roman" w:eastAsia="仿宋_GB2312" w:cs="Times New Roman"/>
          <w:kern w:val="0"/>
          <w:sz w:val="32"/>
          <w:szCs w:val="32"/>
          <w:lang w:val="en-US" w:eastAsia="zh-CN" w:bidi="ar"/>
        </w:rPr>
        <w:t>项目，应当根据建设项目节地评价的相关要求开展建设项目节地评价论证，并报省级自然资源主管部门备案。</w:t>
      </w:r>
    </w:p>
    <w:p>
      <w:pPr>
        <w:keepNext w:val="0"/>
        <w:keepLines w:val="0"/>
        <w:pageBreakBefore w:val="0"/>
        <w:widowControl/>
        <w:numPr>
          <w:ilvl w:val="0"/>
          <w:numId w:val="1"/>
        </w:numPr>
        <w:suppressLineNumbers w:val="0"/>
        <w:kinsoku/>
        <w:overflowPunct/>
        <w:topLinePunct w:val="0"/>
        <w:autoSpaceDE/>
        <w:autoSpaceDN/>
        <w:bidi w:val="0"/>
        <w:adjustRightInd/>
        <w:snapToGrid w:val="0"/>
        <w:spacing w:before="0" w:beforeAutospacing="0" w:after="0" w:afterAutospacing="0" w:line="360" w:lineRule="auto"/>
        <w:ind w:left="0" w:right="0" w:firstLine="560"/>
        <w:jc w:val="lef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加强执行情况监管</w:t>
      </w:r>
    </w:p>
    <w:p>
      <w:pPr>
        <w:keepNext w:val="0"/>
        <w:keepLines w:val="0"/>
        <w:pageBreakBefore w:val="0"/>
        <w:widowControl/>
        <w:numPr>
          <w:ilvl w:val="0"/>
          <w:numId w:val="0"/>
        </w:numPr>
        <w:suppressLineNumbers w:val="0"/>
        <w:kinsoku/>
        <w:overflowPunct/>
        <w:topLinePunct w:val="0"/>
        <w:autoSpaceDE/>
        <w:autoSpaceDN/>
        <w:bidi w:val="0"/>
        <w:adjustRightInd/>
        <w:snapToGrid w:val="0"/>
        <w:spacing w:before="0" w:beforeAutospacing="0" w:after="0" w:afterAutospacing="0" w:line="360" w:lineRule="auto"/>
        <w:ind w:left="0" w:right="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地方各级自然资源主管部门应会同相关部门</w:t>
      </w:r>
      <w:r>
        <w:rPr>
          <w:rFonts w:hint="eastAsia" w:ascii="Times New Roman" w:hAnsi="Times New Roman" w:eastAsia="仿宋_GB2312" w:cs="Times New Roman"/>
          <w:kern w:val="0"/>
          <w:sz w:val="32"/>
          <w:szCs w:val="32"/>
          <w:lang w:val="en-US" w:eastAsia="zh-CN" w:bidi="ar"/>
        </w:rPr>
        <w:t>推动《控制指标》作为</w:t>
      </w:r>
      <w:r>
        <w:rPr>
          <w:rFonts w:hint="default" w:ascii="Times New Roman" w:hAnsi="Times New Roman" w:eastAsia="仿宋_GB2312" w:cs="Times New Roman"/>
          <w:kern w:val="0"/>
          <w:sz w:val="32"/>
          <w:szCs w:val="32"/>
          <w:lang w:val="en-US" w:eastAsia="zh-CN" w:bidi="ar"/>
        </w:rPr>
        <w:t>编制项目用地有关法律文书、项目初步设计文件和可行性研究报告等的重要依据，</w:t>
      </w:r>
      <w:r>
        <w:rPr>
          <w:rFonts w:hint="eastAsia" w:ascii="Times New Roman" w:hAnsi="Times New Roman" w:eastAsia="仿宋_GB2312" w:cs="Times New Roman"/>
          <w:kern w:val="0"/>
          <w:sz w:val="32"/>
          <w:szCs w:val="32"/>
          <w:lang w:val="en-US" w:eastAsia="zh-CN" w:bidi="ar"/>
        </w:rPr>
        <w:t>将《控制指标》</w:t>
      </w:r>
      <w:r>
        <w:rPr>
          <w:rFonts w:hint="default" w:ascii="Times New Roman" w:hAnsi="Times New Roman" w:eastAsia="仿宋_GB2312" w:cs="Times New Roman"/>
          <w:kern w:val="0"/>
          <w:sz w:val="32"/>
          <w:szCs w:val="32"/>
          <w:lang w:val="en-US" w:eastAsia="zh-CN" w:bidi="ar"/>
        </w:rPr>
        <w:t>列入建设用地供应方案、出让公告、用地监管合同</w:t>
      </w:r>
      <w:r>
        <w:rPr>
          <w:rFonts w:hint="eastAsia" w:ascii="Times New Roman" w:hAnsi="Times New Roman" w:eastAsia="仿宋_GB2312" w:cs="Times New Roman"/>
          <w:kern w:val="0"/>
          <w:sz w:val="32"/>
          <w:szCs w:val="32"/>
          <w:lang w:val="en-US" w:eastAsia="zh-CN" w:bidi="ar"/>
        </w:rPr>
        <w:t>等</w:t>
      </w:r>
      <w:r>
        <w:rPr>
          <w:rFonts w:hint="default" w:ascii="Times New Roman" w:hAnsi="Times New Roman" w:eastAsia="仿宋_GB2312" w:cs="Times New Roman"/>
          <w:kern w:val="0"/>
          <w:sz w:val="32"/>
          <w:szCs w:val="32"/>
          <w:lang w:val="en-US" w:eastAsia="zh-CN" w:bidi="ar"/>
        </w:rPr>
        <w:t>并约定相关违约责任</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建立《控制指标》联合实施和监管机制</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依据各自职责</w:t>
      </w:r>
      <w:r>
        <w:rPr>
          <w:rFonts w:hint="eastAsia" w:ascii="Times New Roman" w:hAnsi="Times New Roman" w:eastAsia="仿宋_GB2312" w:cs="Times New Roman"/>
          <w:kern w:val="0"/>
          <w:sz w:val="32"/>
          <w:szCs w:val="32"/>
          <w:lang w:val="en-US" w:eastAsia="zh-CN" w:bidi="ar"/>
        </w:rPr>
        <w:t>监管</w:t>
      </w:r>
      <w:r>
        <w:rPr>
          <w:rFonts w:hint="default" w:ascii="Times New Roman" w:hAnsi="Times New Roman" w:eastAsia="仿宋_GB2312" w:cs="Times New Roman"/>
          <w:kern w:val="0"/>
          <w:sz w:val="32"/>
          <w:szCs w:val="32"/>
          <w:lang w:val="en-US" w:eastAsia="zh-CN" w:bidi="ar"/>
        </w:rPr>
        <w:t>约定事项履行</w:t>
      </w:r>
      <w:r>
        <w:rPr>
          <w:rFonts w:hint="eastAsia" w:ascii="Times New Roman" w:hAnsi="Times New Roman" w:eastAsia="仿宋_GB2312" w:cs="Times New Roman"/>
          <w:kern w:val="0"/>
          <w:sz w:val="32"/>
          <w:szCs w:val="32"/>
          <w:lang w:val="en-US" w:eastAsia="zh-CN" w:bidi="ar"/>
        </w:rPr>
        <w:t>情况</w:t>
      </w:r>
      <w:r>
        <w:rPr>
          <w:rFonts w:hint="default" w:ascii="Times New Roman" w:hAnsi="Times New Roman" w:eastAsia="仿宋_GB2312" w:cs="Times New Roman"/>
          <w:kern w:val="0"/>
          <w:sz w:val="32"/>
          <w:szCs w:val="32"/>
          <w:lang w:val="en-US" w:eastAsia="zh-CN" w:bidi="ar"/>
        </w:rPr>
        <w:t>，</w:t>
      </w:r>
      <w:r>
        <w:rPr>
          <w:rFonts w:hint="eastAsia" w:ascii="Times New Roman" w:hAnsi="Times New Roman" w:eastAsia="仿宋_GB2312" w:cs="Times New Roman"/>
          <w:kern w:val="0"/>
          <w:sz w:val="32"/>
          <w:szCs w:val="32"/>
          <w:lang w:val="en-US" w:eastAsia="zh-CN" w:bidi="ar"/>
        </w:rPr>
        <w:t>严格追究违约责任，落实处罚整改</w:t>
      </w:r>
      <w:r>
        <w:rPr>
          <w:rFonts w:hint="default" w:ascii="Times New Roman" w:hAnsi="Times New Roman" w:eastAsia="仿宋_GB2312" w:cs="Times New Roman"/>
          <w:kern w:val="0"/>
          <w:sz w:val="32"/>
          <w:szCs w:val="32"/>
          <w:lang w:val="en-US" w:eastAsia="zh-CN" w:bidi="ar"/>
        </w:rPr>
        <w:t>措施</w:t>
      </w:r>
      <w:r>
        <w:rPr>
          <w:rFonts w:hint="eastAsia" w:ascii="Times New Roman" w:hAnsi="Times New Roman" w:eastAsia="仿宋_GB2312" w:cs="Times New Roman"/>
          <w:kern w:val="0"/>
          <w:sz w:val="32"/>
          <w:szCs w:val="32"/>
          <w:lang w:val="en-US" w:eastAsia="zh-CN" w:bidi="ar"/>
        </w:rPr>
        <w:t>，切实</w:t>
      </w:r>
      <w:r>
        <w:rPr>
          <w:rFonts w:hint="default" w:ascii="Times New Roman" w:hAnsi="Times New Roman" w:eastAsia="仿宋_GB2312" w:cs="Times New Roman"/>
          <w:kern w:val="0"/>
          <w:sz w:val="32"/>
          <w:szCs w:val="32"/>
          <w:lang w:val="en-US" w:eastAsia="zh-CN" w:bidi="ar"/>
        </w:rPr>
        <w:t>加强工业用地</w:t>
      </w:r>
      <w:r>
        <w:rPr>
          <w:rFonts w:hint="eastAsia" w:ascii="Times New Roman" w:hAnsi="Times New Roman" w:eastAsia="仿宋_GB2312" w:cs="Times New Roman"/>
          <w:kern w:val="0"/>
          <w:sz w:val="32"/>
          <w:szCs w:val="32"/>
          <w:lang w:val="en-US" w:eastAsia="zh-CN" w:bidi="ar"/>
        </w:rPr>
        <w:t>全生命周期管理。</w:t>
      </w: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firstLine="640"/>
        <w:jc w:val="both"/>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本《控制指标》有效期5年，自《控制指标》发布之日起实施。《工业项目建设用地控制指标》（国土资发〔2008〕24号）同时废止。</w:t>
      </w: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firstLine="640"/>
        <w:jc w:val="both"/>
        <w:textAlignment w:val="auto"/>
        <w:rPr>
          <w:rFonts w:hint="default" w:ascii="Times New Roman" w:hAnsi="Times New Roman" w:eastAsia="仿宋_GB2312" w:cs="Times New Roman"/>
          <w:kern w:val="0"/>
          <w:sz w:val="32"/>
          <w:szCs w:val="32"/>
          <w:lang w:val="en-US" w:eastAsia="zh-CN" w:bidi="ar"/>
        </w:rPr>
      </w:pP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firstLine="64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 xml:space="preserve">                             2021年3月 日</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rFonts w:hint="eastAsia" w:ascii="黑体" w:hAnsi="黑体" w:eastAsia="黑体" w:cs="黑体"/>
          <w:kern w:val="0"/>
          <w:sz w:val="28"/>
          <w:szCs w:val="28"/>
          <w:lang w:val="en-US" w:eastAsia="zh-CN" w:bidi="ar"/>
        </w:rPr>
      </w:pPr>
      <w:r>
        <w:rPr>
          <w:rFonts w:hint="eastAsia" w:ascii="Times New Roman" w:hAnsi="Times New Roman" w:eastAsia="仿宋_GB2312" w:cs="Times New Roman"/>
          <w:kern w:val="0"/>
          <w:sz w:val="32"/>
          <w:szCs w:val="32"/>
          <w:lang w:val="en-US" w:eastAsia="zh-CN" w:bidi="ar"/>
        </w:rPr>
        <w:br w:type="page"/>
      </w:r>
      <w:r>
        <w:rPr>
          <w:rFonts w:hint="eastAsia" w:ascii="黑体" w:hAnsi="黑体" w:eastAsia="黑体" w:cs="黑体"/>
          <w:kern w:val="0"/>
          <w:sz w:val="32"/>
          <w:szCs w:val="32"/>
          <w:lang w:val="en-US" w:eastAsia="zh-CN" w:bidi="ar"/>
        </w:rPr>
        <w:t>附件</w:t>
      </w:r>
    </w:p>
    <w:p>
      <w:pPr>
        <w:keepNext w:val="0"/>
        <w:keepLines w:val="0"/>
        <w:widowControl/>
        <w:suppressLineNumbers w:val="0"/>
        <w:snapToGrid w:val="0"/>
        <w:spacing w:before="0" w:beforeAutospacing="0" w:after="0" w:afterAutospacing="0" w:line="360" w:lineRule="auto"/>
        <w:ind w:left="0" w:right="0" w:firstLine="0" w:firstLineChars="0"/>
        <w:jc w:val="center"/>
        <w:rPr>
          <w:rFonts w:hint="eastAsia" w:ascii="方正小标宋_GBK" w:hAnsi="方正小标宋_GBK" w:eastAsia="方正小标宋_GBK" w:cs="方正小标宋_GBK"/>
          <w:bCs/>
          <w:kern w:val="0"/>
          <w:sz w:val="44"/>
          <w:szCs w:val="44"/>
          <w:lang w:val="en-US" w:eastAsia="zh-CN" w:bidi="ar"/>
        </w:rPr>
      </w:pPr>
      <w:r>
        <w:rPr>
          <w:rFonts w:hint="eastAsia" w:ascii="方正小标宋_GBK" w:hAnsi="方正小标宋_GBK" w:eastAsia="方正小标宋_GBK" w:cs="方正小标宋_GBK"/>
          <w:bCs/>
          <w:kern w:val="0"/>
          <w:sz w:val="44"/>
          <w:szCs w:val="44"/>
          <w:lang w:val="en-US" w:eastAsia="zh-CN" w:bidi="ar"/>
        </w:rPr>
        <w:t>工业项目建设用地控制指标</w:t>
      </w:r>
    </w:p>
    <w:p>
      <w:pPr>
        <w:keepNext w:val="0"/>
        <w:keepLines w:val="0"/>
        <w:widowControl/>
        <w:suppressLineNumbers w:val="0"/>
        <w:snapToGrid w:val="0"/>
        <w:spacing w:before="0" w:beforeAutospacing="0" w:after="0" w:afterAutospacing="0" w:line="360" w:lineRule="auto"/>
        <w:ind w:left="0" w:right="0" w:firstLine="0" w:firstLineChars="0"/>
        <w:jc w:val="center"/>
        <w:rPr>
          <w:rFonts w:hint="eastAsia" w:ascii="黑体" w:hAnsi="黑体" w:eastAsia="黑体" w:cs="黑体"/>
          <w:bCs/>
          <w:kern w:val="0"/>
          <w:sz w:val="32"/>
          <w:szCs w:val="32"/>
          <w:lang w:val="en-US" w:eastAsia="zh-CN" w:bidi="ar"/>
        </w:rPr>
      </w:pPr>
      <w:r>
        <w:rPr>
          <w:rFonts w:hint="eastAsia" w:ascii="黑体" w:hAnsi="黑体" w:eastAsia="黑体" w:cs="黑体"/>
          <w:bCs/>
          <w:kern w:val="0"/>
          <w:sz w:val="32"/>
          <w:szCs w:val="32"/>
          <w:lang w:val="en-US" w:eastAsia="zh-CN" w:bidi="ar"/>
        </w:rPr>
        <w:t>总体要求</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一、为加强工业项目建设用地管理，促进工业用地节约集约和高效利用，制定《控制指标》。</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640" w:firstLineChars="200"/>
        <w:jc w:val="left"/>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0"/>
          <w:sz w:val="32"/>
          <w:szCs w:val="32"/>
          <w:lang w:val="en-US" w:eastAsia="zh-CN" w:bidi="ar"/>
        </w:rPr>
        <w:t>二、《控制指标》是对工业项目（或单项工程）及其配套工程在土地利用上进行控制的标准，适用于新建、改建工业项目。按照工业用地落实</w:t>
      </w:r>
      <w:r>
        <w:rPr>
          <w:rFonts w:hint="eastAsia" w:ascii="Times New Roman" w:hAnsi="Times New Roman" w:eastAsia="仿宋_GB2312" w:cs="Times New Roman"/>
          <w:kern w:val="0"/>
          <w:sz w:val="32"/>
          <w:szCs w:val="32"/>
          <w:lang w:val="en-US" w:eastAsia="zh-CN" w:bidi="ar"/>
        </w:rPr>
        <w:t>土地</w:t>
      </w:r>
      <w:r>
        <w:rPr>
          <w:rFonts w:hint="default" w:ascii="Times New Roman" w:hAnsi="Times New Roman" w:eastAsia="仿宋_GB2312" w:cs="Times New Roman"/>
          <w:kern w:val="0"/>
          <w:sz w:val="32"/>
          <w:szCs w:val="32"/>
          <w:lang w:val="en-US" w:eastAsia="zh-CN" w:bidi="ar"/>
        </w:rPr>
        <w:t>用途</w:t>
      </w:r>
      <w:r>
        <w:rPr>
          <w:rFonts w:hint="eastAsia" w:ascii="Times New Roman" w:hAnsi="Times New Roman" w:eastAsia="仿宋_GB2312" w:cs="Times New Roman"/>
          <w:kern w:val="0"/>
          <w:sz w:val="32"/>
          <w:szCs w:val="32"/>
          <w:lang w:val="en-US" w:eastAsia="zh-CN" w:bidi="ar"/>
        </w:rPr>
        <w:t>的</w:t>
      </w:r>
      <w:r>
        <w:rPr>
          <w:rFonts w:hint="default" w:ascii="Times New Roman" w:hAnsi="Times New Roman" w:eastAsia="仿宋_GB2312" w:cs="Times New Roman"/>
          <w:kern w:val="0"/>
          <w:sz w:val="32"/>
          <w:szCs w:val="32"/>
          <w:lang w:val="en-US" w:eastAsia="zh-CN" w:bidi="ar"/>
        </w:rPr>
        <w:t>战略性新兴产业</w:t>
      </w:r>
      <w:r>
        <w:rPr>
          <w:rFonts w:hint="eastAsia" w:ascii="Times New Roman" w:hAnsi="Times New Roman" w:eastAsia="仿宋_GB2312" w:cs="Times New Roman"/>
          <w:kern w:val="0"/>
          <w:sz w:val="32"/>
          <w:szCs w:val="32"/>
          <w:lang w:val="en-US" w:eastAsia="zh-CN" w:bidi="ar"/>
        </w:rPr>
        <w:t>、先进制造业项目，也应执行《控制指标》</w:t>
      </w:r>
      <w:r>
        <w:rPr>
          <w:rFonts w:hint="default" w:ascii="Times New Roman" w:hAnsi="Times New Roman" w:eastAsia="仿宋_GB2312" w:cs="Times New Roman"/>
          <w:kern w:val="0"/>
          <w:sz w:val="32"/>
          <w:szCs w:val="32"/>
          <w:lang w:val="en-US" w:eastAsia="zh-CN" w:bidi="ar"/>
        </w:rPr>
        <w:t>。</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三、《控制指标》适用于国有土地上的工业项目建设，集体土地上的工业项目建设可参照执行。</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四、《控制指标》是核定工业项目用地规模</w:t>
      </w:r>
      <w:r>
        <w:rPr>
          <w:rFonts w:hint="eastAsia" w:ascii="Times New Roman" w:hAnsi="Times New Roman" w:eastAsia="仿宋_GB2312" w:cs="Times New Roman"/>
          <w:kern w:val="0"/>
          <w:sz w:val="32"/>
          <w:szCs w:val="32"/>
          <w:lang w:val="en-US" w:eastAsia="zh-CN" w:bidi="ar"/>
        </w:rPr>
        <w:t>、评价工业用地利用效率</w:t>
      </w:r>
      <w:r>
        <w:rPr>
          <w:rFonts w:hint="default" w:ascii="Times New Roman" w:hAnsi="Times New Roman" w:eastAsia="仿宋_GB2312" w:cs="Times New Roman"/>
          <w:kern w:val="0"/>
          <w:sz w:val="32"/>
          <w:szCs w:val="32"/>
          <w:lang w:val="en-US" w:eastAsia="zh-CN" w:bidi="ar"/>
        </w:rPr>
        <w:t>的重要标准，是编制项目用地有关法律文书、项目初步设计文件和可行性研究报告等的重要依据，是对项目建设情况进行检查验收和违约责任追究的重要尺度。工业项目所属行业已有国家颁布的有关工程项目建设用地指标的，应同时满足《控制指标》和有关工程项目建设用地指标的要求。</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五、《控制指标》包括规范性指标和推荐性指标。</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规范性指标包括容积率、建筑系数、行政办公及生活服务设施用地所占比重。工业项目建设用地必须同时符合以下3项指标：（一）容积率控制指标应符合表1的规定；（二）建筑系数控制指标应符合表2的规定；（三）行政办公及生活服务设施用地所占比重控制指标应符合表3的规定。</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推荐性指标包括固定资产投资</w:t>
      </w:r>
      <w:r>
        <w:rPr>
          <w:rFonts w:hint="eastAsia" w:ascii="仿宋_GB2312" w:hAnsi="仿宋_GB2312" w:eastAsia="仿宋_GB2312" w:cs="仿宋_GB2312"/>
          <w:kern w:val="0"/>
          <w:sz w:val="32"/>
          <w:szCs w:val="32"/>
          <w:lang w:val="en-US" w:eastAsia="zh-CN" w:bidi="ar"/>
        </w:rPr>
        <w:t>强度</w:t>
      </w:r>
      <w:r>
        <w:rPr>
          <w:rFonts w:hint="default" w:ascii="Times New Roman" w:hAnsi="Times New Roman" w:eastAsia="仿宋_GB2312" w:cs="Times New Roman"/>
          <w:kern w:val="0"/>
          <w:sz w:val="32"/>
          <w:szCs w:val="32"/>
          <w:lang w:val="en-US" w:eastAsia="zh-CN" w:bidi="ar"/>
        </w:rPr>
        <w:t>、土地产出率、土地税收。地方应根据本地实际、科学合理提出固定资产投资强度、土地产出率、土地税收的控制值，</w:t>
      </w:r>
      <w:r>
        <w:rPr>
          <w:rFonts w:hint="eastAsia" w:ascii="Times New Roman" w:hAnsi="Times New Roman" w:eastAsia="仿宋_GB2312" w:cs="Times New Roman"/>
          <w:kern w:val="0"/>
          <w:sz w:val="32"/>
          <w:szCs w:val="32"/>
          <w:lang w:val="en-US" w:eastAsia="zh-CN" w:bidi="ar"/>
        </w:rPr>
        <w:t>全部或部分</w:t>
      </w:r>
      <w:r>
        <w:rPr>
          <w:rFonts w:hint="default" w:ascii="Times New Roman" w:hAnsi="Times New Roman" w:eastAsia="仿宋_GB2312" w:cs="Times New Roman"/>
          <w:kern w:val="0"/>
          <w:sz w:val="32"/>
          <w:szCs w:val="32"/>
          <w:lang w:val="en-US" w:eastAsia="zh-CN" w:bidi="ar"/>
        </w:rPr>
        <w:t>纳入本地区工业项目建设用地控制指标</w:t>
      </w:r>
      <w:r>
        <w:rPr>
          <w:rFonts w:hint="eastAsia" w:ascii="Times New Roman" w:hAnsi="Times New Roman" w:eastAsia="仿宋_GB2312" w:cs="Times New Roman"/>
          <w:kern w:val="0"/>
          <w:sz w:val="32"/>
          <w:szCs w:val="32"/>
          <w:lang w:val="en-US" w:eastAsia="zh-CN" w:bidi="ar"/>
        </w:rPr>
        <w:t>的规范性指标</w:t>
      </w:r>
      <w:r>
        <w:rPr>
          <w:rFonts w:hint="default" w:ascii="Times New Roman" w:hAnsi="Times New Roman" w:eastAsia="仿宋_GB2312" w:cs="Times New Roman"/>
          <w:kern w:val="0"/>
          <w:sz w:val="32"/>
          <w:szCs w:val="32"/>
          <w:lang w:val="en-US" w:eastAsia="zh-CN" w:bidi="ar"/>
        </w:rPr>
        <w:t>，</w:t>
      </w:r>
      <w:r>
        <w:rPr>
          <w:rFonts w:hint="eastAsia" w:ascii="Times New Roman" w:hAnsi="Times New Roman" w:eastAsia="仿宋_GB2312" w:cs="Times New Roman"/>
          <w:kern w:val="0"/>
          <w:sz w:val="32"/>
          <w:szCs w:val="32"/>
          <w:lang w:val="en-US" w:eastAsia="zh-CN" w:bidi="ar"/>
        </w:rPr>
        <w:t>提升</w:t>
      </w:r>
      <w:r>
        <w:rPr>
          <w:rFonts w:hint="default" w:ascii="Times New Roman" w:hAnsi="Times New Roman" w:eastAsia="仿宋_GB2312" w:cs="Times New Roman"/>
          <w:kern w:val="0"/>
          <w:sz w:val="32"/>
          <w:szCs w:val="32"/>
          <w:lang w:val="en-US" w:eastAsia="zh-CN" w:bidi="ar"/>
        </w:rPr>
        <w:t>工业用地</w:t>
      </w:r>
      <w:r>
        <w:rPr>
          <w:rFonts w:hint="eastAsia" w:ascii="Times New Roman" w:hAnsi="Times New Roman" w:eastAsia="仿宋_GB2312" w:cs="Times New Roman"/>
          <w:kern w:val="0"/>
          <w:sz w:val="32"/>
          <w:szCs w:val="32"/>
          <w:lang w:val="en-US" w:eastAsia="zh-CN" w:bidi="ar"/>
        </w:rPr>
        <w:t>利用</w:t>
      </w:r>
      <w:r>
        <w:rPr>
          <w:rFonts w:hint="default" w:ascii="Times New Roman" w:hAnsi="Times New Roman" w:eastAsia="仿宋_GB2312" w:cs="Times New Roman"/>
          <w:kern w:val="0"/>
          <w:sz w:val="32"/>
          <w:szCs w:val="32"/>
          <w:lang w:val="en-US" w:eastAsia="zh-CN" w:bidi="ar"/>
        </w:rPr>
        <w:t>效率。表4给出了固定资产投资</w:t>
      </w:r>
      <w:r>
        <w:rPr>
          <w:rFonts w:hint="eastAsia" w:ascii="仿宋_GB2312" w:hAnsi="仿宋_GB2312" w:eastAsia="仿宋_GB2312" w:cs="仿宋_GB2312"/>
          <w:kern w:val="0"/>
          <w:sz w:val="32"/>
          <w:szCs w:val="32"/>
          <w:lang w:val="en-US" w:eastAsia="zh-CN" w:bidi="ar"/>
        </w:rPr>
        <w:t>强度</w:t>
      </w:r>
      <w:r>
        <w:rPr>
          <w:rFonts w:hint="default" w:ascii="Times New Roman" w:hAnsi="Times New Roman" w:eastAsia="仿宋_GB2312" w:cs="Times New Roman"/>
          <w:kern w:val="0"/>
          <w:sz w:val="32"/>
          <w:szCs w:val="32"/>
          <w:lang w:val="en-US" w:eastAsia="zh-CN" w:bidi="ar"/>
        </w:rPr>
        <w:t>的推荐值。</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eastAsia" w:ascii="Times New Roman" w:hAnsi="Times New Roman" w:eastAsia="仿宋_GB2312" w:cs="Times New Roman"/>
          <w:kern w:val="0"/>
          <w:sz w:val="32"/>
          <w:szCs w:val="32"/>
          <w:lang w:val="en-US" w:eastAsia="zh-CN" w:bidi="ar"/>
        </w:rPr>
        <w:t>六</w:t>
      </w:r>
      <w:r>
        <w:rPr>
          <w:rFonts w:hint="default" w:ascii="Times New Roman" w:hAnsi="Times New Roman" w:eastAsia="仿宋_GB2312" w:cs="Times New Roman"/>
          <w:kern w:val="0"/>
          <w:sz w:val="32"/>
          <w:szCs w:val="32"/>
          <w:lang w:val="en-US" w:eastAsia="zh-CN" w:bidi="ar"/>
        </w:rPr>
        <w:t>、工业项目建设应充分节约集约用地。工业企业内部一般不得安排非安全生产必需的绿地，不得建设花园式工厂。</w:t>
      </w:r>
      <w:r>
        <w:rPr>
          <w:rFonts w:hint="eastAsia" w:ascii="仿宋_GB2312" w:hAnsi="Times New Roman" w:eastAsia="仿宋_GB2312" w:cs="宋体"/>
          <w:sz w:val="32"/>
          <w:szCs w:val="32"/>
          <w:lang w:val="en-US" w:eastAsia="zh-CN" w:bidi="ar"/>
        </w:rPr>
        <w:t>工业项目绿化布置应符合《城市绿地规划标准》（GB/T51346-2019）的要求。</w:t>
      </w:r>
      <w:r>
        <w:rPr>
          <w:rFonts w:hint="default" w:ascii="Times New Roman" w:hAnsi="Times New Roman" w:eastAsia="仿宋_GB2312" w:cs="Times New Roman"/>
          <w:kern w:val="0"/>
          <w:sz w:val="32"/>
          <w:szCs w:val="32"/>
          <w:lang w:val="en-US" w:eastAsia="zh-CN" w:bidi="ar"/>
        </w:rPr>
        <w:t>工业项目建设应采用先进、成熟的生产工艺、生产设备，缩短工艺流程，</w:t>
      </w:r>
      <w:r>
        <w:rPr>
          <w:rFonts w:hint="eastAsia" w:ascii="Times New Roman" w:hAnsi="Times New Roman" w:eastAsia="仿宋_GB2312" w:cs="Times New Roman"/>
          <w:kern w:val="0"/>
          <w:sz w:val="32"/>
          <w:szCs w:val="32"/>
          <w:lang w:val="en-US" w:eastAsia="zh-CN" w:bidi="ar"/>
        </w:rPr>
        <w:t>鼓励建设</w:t>
      </w:r>
      <w:r>
        <w:rPr>
          <w:rFonts w:hint="default" w:ascii="Times New Roman" w:hAnsi="Times New Roman" w:eastAsia="仿宋_GB2312" w:cs="Times New Roman"/>
          <w:kern w:val="0"/>
          <w:sz w:val="32"/>
          <w:szCs w:val="32"/>
          <w:lang w:val="en-US" w:eastAsia="zh-CN" w:bidi="ar"/>
        </w:rPr>
        <w:t>多层工业厂房</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鼓励工业企业合理利用地上、地下空间。</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0"/>
          <w:sz w:val="32"/>
          <w:szCs w:val="32"/>
          <w:lang w:val="en-US" w:bidi="ar"/>
        </w:rPr>
      </w:pPr>
      <w:r>
        <w:rPr>
          <w:rFonts w:hint="eastAsia" w:ascii="Times New Roman" w:hAnsi="Times New Roman" w:eastAsia="仿宋_GB2312" w:cs="Times New Roman"/>
          <w:kern w:val="0"/>
          <w:sz w:val="32"/>
          <w:szCs w:val="32"/>
          <w:lang w:val="en-US" w:eastAsia="zh-CN" w:bidi="ar"/>
        </w:rPr>
        <w:t>七</w:t>
      </w:r>
      <w:r>
        <w:rPr>
          <w:rFonts w:hint="default" w:ascii="Times New Roman" w:hAnsi="Times New Roman" w:eastAsia="仿宋_GB2312" w:cs="Times New Roman"/>
          <w:kern w:val="0"/>
          <w:sz w:val="32"/>
          <w:szCs w:val="32"/>
          <w:lang w:val="en-US" w:eastAsia="zh-CN" w:bidi="ar"/>
        </w:rPr>
        <w:t>、建设项目竣工、投产、达产验收时，未达到《控制指标》要求的，应依照合同约定及有关规定追究违约责任。</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eastAsia="zh-CN" w:bidi="ar"/>
        </w:rPr>
      </w:pPr>
    </w:p>
    <w:p>
      <w:pPr>
        <w:keepNext w:val="0"/>
        <w:keepLines w:val="0"/>
        <w:widowControl/>
        <w:suppressLineNumbers w:val="0"/>
        <w:spacing w:before="0" w:beforeAutospacing="0" w:after="0" w:afterAutospacing="0"/>
        <w:ind w:left="0" w:right="0" w:firstLine="600"/>
        <w:jc w:val="left"/>
        <w:rPr>
          <w:rFonts w:hint="eastAsia" w:ascii="仿宋_GB2312" w:hAnsi="Times New Roman" w:eastAsia="仿宋_GB2312" w:cs="宋体"/>
          <w:kern w:val="0"/>
          <w:sz w:val="30"/>
          <w:szCs w:val="30"/>
          <w:lang w:val="en-US" w:eastAsia="zh-CN" w:bidi="ar"/>
        </w:rPr>
      </w:pPr>
    </w:p>
    <w:p>
      <w:pPr>
        <w:keepNext w:val="0"/>
        <w:keepLines w:val="0"/>
        <w:widowControl/>
        <w:suppressLineNumbers w:val="0"/>
        <w:spacing w:before="100" w:beforeAutospacing="1" w:after="100" w:afterAutospacing="1"/>
        <w:ind w:left="0" w:right="0"/>
        <w:jc w:val="center"/>
        <w:rPr>
          <w:rFonts w:hint="eastAsia" w:ascii="黑体" w:hAnsi="黑体" w:eastAsia="黑体" w:cs="黑体"/>
          <w:bCs/>
          <w:kern w:val="0"/>
          <w:sz w:val="32"/>
          <w:szCs w:val="32"/>
          <w:lang w:val="en-US"/>
        </w:rPr>
      </w:pPr>
      <w:r>
        <w:rPr>
          <w:rFonts w:hint="eastAsia" w:ascii="仿宋_GB2312" w:hAnsi="Times New Roman" w:eastAsia="仿宋_GB2312" w:cs="宋体"/>
          <w:kern w:val="0"/>
          <w:sz w:val="30"/>
          <w:szCs w:val="30"/>
          <w:lang w:val="en-US" w:eastAsia="zh-CN" w:bidi="ar"/>
        </w:rPr>
        <w:br w:type="page"/>
      </w:r>
      <w:r>
        <w:rPr>
          <w:rFonts w:hint="eastAsia" w:ascii="黑体" w:hAnsi="黑体" w:eastAsia="黑体" w:cs="黑体"/>
          <w:bCs/>
          <w:kern w:val="0"/>
          <w:sz w:val="32"/>
          <w:szCs w:val="32"/>
          <w:lang w:val="en-US" w:eastAsia="zh-CN" w:bidi="ar"/>
        </w:rPr>
        <w:t>指标说明</w:t>
      </w:r>
    </w:p>
    <w:p>
      <w:pPr>
        <w:keepNext w:val="0"/>
        <w:keepLines w:val="0"/>
        <w:widowControl w:val="0"/>
        <w:numPr>
          <w:ilvl w:val="0"/>
          <w:numId w:val="0"/>
        </w:numPr>
        <w:suppressLineNumbers w:val="0"/>
        <w:snapToGrid w:val="0"/>
        <w:spacing w:before="0" w:beforeAutospacing="0" w:after="0" w:afterAutospacing="0" w:line="360" w:lineRule="auto"/>
        <w:ind w:left="0" w:right="0" w:firstLine="640" w:firstLineChars="200"/>
        <w:jc w:val="left"/>
        <w:rPr>
          <w:rFonts w:hint="eastAsia" w:ascii="黑体" w:hAnsi="Times New Roman" w:eastAsia="黑体" w:cs="宋体"/>
          <w:kern w:val="0"/>
          <w:sz w:val="32"/>
          <w:szCs w:val="32"/>
          <w:lang w:val="en-US" w:eastAsia="zh-CN" w:bidi="ar"/>
        </w:rPr>
      </w:pPr>
      <w:r>
        <w:rPr>
          <w:rFonts w:hint="eastAsia" w:ascii="黑体" w:hAnsi="Times New Roman" w:eastAsia="黑体" w:cs="宋体"/>
          <w:kern w:val="0"/>
          <w:sz w:val="32"/>
          <w:szCs w:val="32"/>
          <w:lang w:val="en-US" w:eastAsia="zh-CN" w:bidi="ar"/>
        </w:rPr>
        <w:t>一、分类标准</w:t>
      </w:r>
    </w:p>
    <w:p>
      <w:pPr>
        <w:keepNext w:val="0"/>
        <w:keepLines w:val="0"/>
        <w:widowControl w:val="0"/>
        <w:numPr>
          <w:ilvl w:val="0"/>
          <w:numId w:val="0"/>
        </w:numPr>
        <w:suppressLineNumbers w:val="0"/>
        <w:snapToGrid w:val="0"/>
        <w:spacing w:before="0" w:beforeAutospacing="0" w:after="0" w:afterAutospacing="0" w:line="360" w:lineRule="auto"/>
        <w:ind w:left="0" w:leftChars="0" w:right="0" w:firstLine="640" w:firstLineChars="200"/>
        <w:jc w:val="both"/>
        <w:rPr>
          <w:rFonts w:hint="default" w:ascii="Times New Roman" w:hAnsi="Times New Roman" w:eastAsia="仿宋_GB2312" w:cs="Times New Roman"/>
          <w:kern w:val="0"/>
          <w:sz w:val="32"/>
          <w:szCs w:val="32"/>
          <w:lang w:val="en-US" w:bidi="ar"/>
        </w:rPr>
      </w:pPr>
      <w:r>
        <w:rPr>
          <w:rFonts w:hint="default" w:ascii="Times New Roman" w:hAnsi="Times New Roman" w:eastAsia="仿宋_GB2312" w:cs="Times New Roman"/>
          <w:kern w:val="0"/>
          <w:sz w:val="32"/>
          <w:szCs w:val="32"/>
          <w:lang w:val="en-US" w:eastAsia="zh-CN" w:bidi="ar"/>
        </w:rPr>
        <w:t>工业行业分类按《国民经济行业分类》（GB/T4754-2017）执行。战略性新兴产业分类按《战略性新兴产业分类（2018）》（国家统计局令第23号）执行，先进制造业分类按《新产业新业态新商业模式统计分类（2018）》（国统字〔2018〕111号）执行。土地等别按照</w:t>
      </w:r>
      <w:r>
        <w:rPr>
          <w:rFonts w:hint="eastAsia" w:ascii="Times New Roman" w:hAnsi="Times New Roman" w:eastAsia="仿宋_GB2312" w:cs="Times New Roman"/>
          <w:kern w:val="0"/>
          <w:sz w:val="32"/>
          <w:szCs w:val="32"/>
          <w:lang w:val="en-US" w:eastAsia="zh-CN" w:bidi="ar"/>
        </w:rPr>
        <w:t>依据</w:t>
      </w:r>
      <w:r>
        <w:rPr>
          <w:rFonts w:hint="default" w:ascii="Times New Roman" w:hAnsi="Times New Roman" w:eastAsia="仿宋_GB2312" w:cs="Times New Roman"/>
          <w:kern w:val="0"/>
          <w:sz w:val="32"/>
          <w:szCs w:val="32"/>
          <w:lang w:val="en-US" w:eastAsia="zh-CN" w:bidi="ar"/>
        </w:rPr>
        <w:t>《城镇土地分等定级规程》（GB/T18507-2014）</w:t>
      </w:r>
      <w:r>
        <w:rPr>
          <w:rFonts w:hint="eastAsia" w:ascii="Times New Roman" w:hAnsi="Times New Roman" w:eastAsia="仿宋_GB2312" w:cs="Times New Roman"/>
          <w:kern w:val="0"/>
          <w:sz w:val="32"/>
          <w:szCs w:val="32"/>
          <w:lang w:val="en-US" w:eastAsia="zh-CN" w:bidi="ar"/>
        </w:rPr>
        <w:t>制定的城镇土地等别</w:t>
      </w:r>
      <w:r>
        <w:rPr>
          <w:rFonts w:hint="default" w:ascii="Times New Roman" w:hAnsi="Times New Roman" w:eastAsia="仿宋_GB2312" w:cs="Times New Roman"/>
          <w:kern w:val="0"/>
          <w:sz w:val="32"/>
          <w:szCs w:val="32"/>
          <w:lang w:val="en-US" w:eastAsia="zh-CN" w:bidi="ar"/>
        </w:rPr>
        <w:t>执行。上述部门规章、国家标准发生修订的，按照修订后的执行。</w:t>
      </w:r>
    </w:p>
    <w:p>
      <w:pPr>
        <w:keepNext w:val="0"/>
        <w:keepLines w:val="0"/>
        <w:widowControl w:val="0"/>
        <w:suppressLineNumbers w:val="0"/>
        <w:snapToGrid w:val="0"/>
        <w:spacing w:before="0" w:beforeAutospacing="0" w:after="0" w:afterAutospacing="0" w:line="360" w:lineRule="auto"/>
        <w:ind w:left="0" w:right="0" w:firstLine="0" w:firstLineChars="0"/>
        <w:jc w:val="left"/>
        <w:rPr>
          <w:rFonts w:hint="eastAsia" w:ascii="黑体" w:hAnsi="Times New Roman" w:eastAsia="黑体" w:cs="宋体"/>
          <w:bCs/>
          <w:kern w:val="0"/>
          <w:sz w:val="32"/>
          <w:szCs w:val="32"/>
          <w:lang w:val="en-US"/>
        </w:rPr>
      </w:pPr>
      <w:r>
        <w:rPr>
          <w:rFonts w:hint="eastAsia" w:ascii="仿宋_GB2312" w:hAnsi="Times New Roman" w:eastAsia="仿宋_GB2312" w:cs="宋体"/>
          <w:b/>
          <w:kern w:val="0"/>
          <w:sz w:val="28"/>
          <w:szCs w:val="28"/>
          <w:lang w:val="en-US" w:eastAsia="zh-CN" w:bidi="ar"/>
        </w:rPr>
        <w:t>　</w:t>
      </w:r>
      <w:r>
        <w:rPr>
          <w:rFonts w:hint="eastAsia" w:ascii="仿宋_GB2312" w:hAnsi="Times New Roman" w:eastAsia="仿宋_GB2312" w:cs="宋体"/>
          <w:b/>
          <w:kern w:val="0"/>
          <w:sz w:val="32"/>
          <w:szCs w:val="32"/>
          <w:lang w:val="en-US" w:eastAsia="zh-CN" w:bidi="ar"/>
        </w:rPr>
        <w:t>　</w:t>
      </w:r>
      <w:r>
        <w:rPr>
          <w:rFonts w:hint="eastAsia" w:ascii="黑体" w:hAnsi="Times New Roman" w:eastAsia="黑体" w:cs="宋体"/>
          <w:kern w:val="0"/>
          <w:sz w:val="32"/>
          <w:szCs w:val="32"/>
          <w:lang w:val="en-US" w:eastAsia="zh-CN" w:bidi="ar"/>
        </w:rPr>
        <w:t>二、</w:t>
      </w:r>
      <w:r>
        <w:rPr>
          <w:rFonts w:hint="eastAsia" w:ascii="黑体" w:hAnsi="Times New Roman" w:eastAsia="黑体" w:cs="宋体"/>
          <w:bCs/>
          <w:kern w:val="0"/>
          <w:sz w:val="32"/>
          <w:szCs w:val="32"/>
          <w:lang w:val="en-US" w:eastAsia="zh-CN" w:bidi="ar"/>
        </w:rPr>
        <w:t>指标内涵</w:t>
      </w:r>
    </w:p>
    <w:p>
      <w:pPr>
        <w:keepNext w:val="0"/>
        <w:keepLines w:val="0"/>
        <w:widowControl w:val="0"/>
        <w:suppressLineNumbers w:val="0"/>
        <w:autoSpaceDE/>
        <w:autoSpaceDN/>
        <w:adjustRightInd/>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b w:val="0"/>
          <w:bCs w:val="0"/>
          <w:kern w:val="0"/>
          <w:sz w:val="32"/>
          <w:szCs w:val="32"/>
          <w:lang w:val="en-US" w:bidi="ar"/>
        </w:rPr>
      </w:pPr>
      <w:r>
        <w:rPr>
          <w:rFonts w:hint="eastAsia" w:ascii="仿宋_GB2312" w:hAnsi="仿宋_GB2312" w:eastAsia="仿宋_GB2312" w:cs="仿宋_GB2312"/>
          <w:b/>
          <w:bCs/>
          <w:kern w:val="0"/>
          <w:sz w:val="32"/>
          <w:szCs w:val="32"/>
          <w:lang w:val="en-US" w:eastAsia="zh-CN" w:bidi="ar"/>
        </w:rPr>
        <w:t>容积率：</w:t>
      </w:r>
      <w:r>
        <w:rPr>
          <w:rFonts w:hint="eastAsia" w:ascii="仿宋_GB2312" w:hAnsi="仿宋_GB2312" w:eastAsia="仿宋_GB2312" w:cs="仿宋_GB2312"/>
          <w:kern w:val="0"/>
          <w:sz w:val="32"/>
          <w:szCs w:val="32"/>
          <w:lang w:val="en-US" w:eastAsia="zh-CN" w:bidi="ar"/>
        </w:rPr>
        <w:t>项目用地范围内总建筑面积与项目总用地面积的比值。反映项目对土地的空间利用情况，是衡量土地利用强度的重要尺度之一。</w:t>
      </w:r>
    </w:p>
    <w:p>
      <w:pPr>
        <w:keepNext w:val="0"/>
        <w:keepLines w:val="0"/>
        <w:widowControl w:val="0"/>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b/>
          <w:bCs/>
          <w:kern w:val="0"/>
          <w:sz w:val="32"/>
          <w:szCs w:val="32"/>
          <w:lang w:val="en-US" w:eastAsia="zh-CN" w:bidi="ar"/>
        </w:rPr>
        <w:t>建筑系数：</w:t>
      </w:r>
      <w:r>
        <w:rPr>
          <w:rFonts w:hint="eastAsia" w:ascii="仿宋_GB2312" w:hAnsi="仿宋_GB2312" w:eastAsia="仿宋_GB2312" w:cs="仿宋_GB2312"/>
          <w:kern w:val="0"/>
          <w:sz w:val="32"/>
          <w:szCs w:val="32"/>
          <w:lang w:val="en-US" w:eastAsia="zh-CN" w:bidi="ar"/>
        </w:rPr>
        <w:t>指项目用地范围内各种建筑物、用于生产和直接为生产服务的构筑物占地面积总和占总用地面积的比例。反映项目对土地在平面上的利用情况，是衡量土地利用强度及合理性的尺度之一。</w:t>
      </w:r>
    </w:p>
    <w:p>
      <w:pPr>
        <w:keepNext w:val="0"/>
        <w:keepLines w:val="0"/>
        <w:widowControl w:val="0"/>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b w:val="0"/>
          <w:bCs w:val="0"/>
          <w:kern w:val="0"/>
          <w:sz w:val="32"/>
          <w:szCs w:val="32"/>
          <w:lang w:val="en-US" w:bidi="ar"/>
        </w:rPr>
      </w:pPr>
      <w:r>
        <w:rPr>
          <w:rFonts w:hint="eastAsia" w:ascii="仿宋_GB2312" w:hAnsi="仿宋_GB2312" w:eastAsia="仿宋_GB2312" w:cs="仿宋_GB2312"/>
          <w:b/>
          <w:bCs/>
          <w:kern w:val="0"/>
          <w:sz w:val="32"/>
          <w:szCs w:val="32"/>
          <w:lang w:val="en-US" w:eastAsia="zh-CN" w:bidi="ar"/>
        </w:rPr>
        <w:t>行政办公及生活服务设施用地所占比重：</w:t>
      </w:r>
      <w:r>
        <w:rPr>
          <w:rFonts w:hint="eastAsia" w:ascii="仿宋_GB2312" w:hAnsi="仿宋_GB2312" w:eastAsia="仿宋_GB2312" w:cs="仿宋_GB2312"/>
          <w:kern w:val="0"/>
          <w:sz w:val="32"/>
          <w:szCs w:val="32"/>
          <w:lang w:val="en-US" w:eastAsia="zh-CN" w:bidi="ar"/>
        </w:rPr>
        <w:t>项目用地范围内行政办公、生活服务设施占用土地面积（或按建筑面积比例计算的占用土地面积）占总用地面积的比例。反映项目中非生产配套设施使用土地的情况，是反映企业内部用地结构合理性的重要尺度之一。</w:t>
      </w:r>
    </w:p>
    <w:p>
      <w:pPr>
        <w:keepNext w:val="0"/>
        <w:keepLines w:val="0"/>
        <w:widowControl w:val="0"/>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b/>
          <w:bCs/>
          <w:kern w:val="0"/>
          <w:sz w:val="32"/>
          <w:szCs w:val="32"/>
          <w:lang w:val="en-US" w:eastAsia="zh-CN" w:bidi="ar"/>
        </w:rPr>
        <w:t>固定资产投资强度：</w:t>
      </w:r>
      <w:r>
        <w:rPr>
          <w:rFonts w:hint="eastAsia" w:ascii="仿宋_GB2312" w:hAnsi="仿宋_GB2312" w:eastAsia="仿宋_GB2312" w:cs="仿宋_GB2312"/>
          <w:kern w:val="0"/>
          <w:sz w:val="32"/>
          <w:szCs w:val="32"/>
          <w:lang w:val="en-US" w:eastAsia="zh-CN" w:bidi="ar"/>
        </w:rPr>
        <w:t>项目用地范围内单位土地面积上的固定资产投资额。反映单位土地上项目固定资产投资情况，是衡量工业用地投入水平的重要尺度。</w:t>
      </w:r>
    </w:p>
    <w:p>
      <w:pPr>
        <w:keepNext w:val="0"/>
        <w:keepLines w:val="0"/>
        <w:widowControl w:val="0"/>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b/>
          <w:bCs/>
          <w:kern w:val="0"/>
          <w:sz w:val="32"/>
          <w:szCs w:val="32"/>
          <w:lang w:val="en-US" w:eastAsia="zh-CN" w:bidi="ar"/>
        </w:rPr>
        <w:t>土地产出率：</w:t>
      </w:r>
      <w:r>
        <w:rPr>
          <w:rFonts w:hint="eastAsia" w:ascii="仿宋_GB2312" w:hAnsi="仿宋_GB2312" w:eastAsia="仿宋_GB2312" w:cs="仿宋_GB2312"/>
          <w:kern w:val="0"/>
          <w:sz w:val="32"/>
          <w:szCs w:val="32"/>
          <w:lang w:val="en-US" w:eastAsia="zh-CN" w:bidi="ar"/>
        </w:rPr>
        <w:t>项目用地范围内单位土地面积上的主营业务收入。反映单位土地上项目的产出情况，是衡量土地产出水平的重要指标。</w:t>
      </w:r>
    </w:p>
    <w:p>
      <w:pPr>
        <w:keepNext w:val="0"/>
        <w:keepLines w:val="0"/>
        <w:widowControl w:val="0"/>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b/>
          <w:bCs/>
          <w:kern w:val="0"/>
          <w:sz w:val="32"/>
          <w:szCs w:val="32"/>
          <w:lang w:val="en-US" w:eastAsia="zh-CN" w:bidi="ar"/>
        </w:rPr>
        <w:t>土地税收：</w:t>
      </w:r>
      <w:r>
        <w:rPr>
          <w:rFonts w:hint="eastAsia" w:ascii="仿宋_GB2312" w:hAnsi="仿宋_GB2312" w:eastAsia="仿宋_GB2312" w:cs="仿宋_GB2312"/>
          <w:kern w:val="0"/>
          <w:sz w:val="32"/>
          <w:szCs w:val="32"/>
          <w:lang w:val="en-US" w:eastAsia="zh-CN" w:bidi="ar"/>
        </w:rPr>
        <w:t>项目用地范围内单位土地面积上上缴税金数量。反映单位土地上项目的税收情况，是衡量土地产出水平的另一个重要指标。</w:t>
      </w:r>
    </w:p>
    <w:p>
      <w:pPr>
        <w:keepNext w:val="0"/>
        <w:keepLines w:val="0"/>
        <w:widowControl w:val="0"/>
        <w:suppressLineNumbers w:val="0"/>
        <w:snapToGrid w:val="0"/>
        <w:spacing w:before="0" w:beforeAutospacing="0" w:after="0" w:afterAutospacing="0" w:line="360" w:lineRule="auto"/>
        <w:ind w:left="0" w:right="0" w:firstLine="640" w:firstLineChars="200"/>
        <w:jc w:val="left"/>
        <w:rPr>
          <w:rFonts w:hint="eastAsia" w:ascii="黑体" w:hAnsi="Times New Roman" w:eastAsia="黑体" w:cs="宋体"/>
          <w:bCs/>
          <w:kern w:val="0"/>
          <w:sz w:val="32"/>
          <w:szCs w:val="32"/>
          <w:lang w:val="en-US"/>
        </w:rPr>
      </w:pPr>
      <w:r>
        <w:rPr>
          <w:rFonts w:hint="eastAsia" w:ascii="黑体" w:hAnsi="Times New Roman" w:eastAsia="黑体" w:cs="宋体"/>
          <w:bCs/>
          <w:kern w:val="0"/>
          <w:sz w:val="32"/>
          <w:szCs w:val="32"/>
          <w:lang w:val="en-US" w:eastAsia="zh-CN" w:bidi="ar"/>
        </w:rPr>
        <w:t>三、指标计算</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firstLineChars="200"/>
        <w:jc w:val="both"/>
        <w:rPr>
          <w:rFonts w:hint="eastAsia" w:ascii="仿宋_GB2312" w:hAnsi="宋体" w:eastAsia="仿宋_GB2312" w:cs="宋体"/>
          <w:kern w:val="0"/>
          <w:sz w:val="32"/>
          <w:szCs w:val="32"/>
          <w:lang w:val="en-US"/>
        </w:rPr>
      </w:pPr>
      <w:r>
        <w:rPr>
          <w:rFonts w:hint="eastAsia" w:ascii="仿宋_GB2312" w:hAnsi="仿宋_GB2312" w:eastAsia="仿宋_GB2312" w:cs="仿宋_GB2312"/>
          <w:kern w:val="0"/>
          <w:sz w:val="32"/>
          <w:szCs w:val="32"/>
          <w:lang w:val="en-US" w:eastAsia="zh-CN" w:bidi="ar"/>
        </w:rPr>
        <w:t>容积率=项目总建筑面积÷项目总用地面积。</w:t>
      </w:r>
    </w:p>
    <w:p>
      <w:pPr>
        <w:keepNext w:val="0"/>
        <w:keepLines w:val="0"/>
        <w:widowControl w:val="0"/>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kern w:val="0"/>
          <w:sz w:val="32"/>
          <w:szCs w:val="32"/>
          <w:lang w:val="en-US" w:eastAsia="zh-CN" w:bidi="ar"/>
        </w:rPr>
        <w:t>建筑系数=（建筑物占地面积＋构筑物占地面积＋堆场用地面积）÷项目总用地面积×100%。</w:t>
      </w:r>
    </w:p>
    <w:p>
      <w:pPr>
        <w:keepNext w:val="0"/>
        <w:keepLines w:val="0"/>
        <w:widowControl w:val="0"/>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kern w:val="0"/>
          <w:sz w:val="32"/>
          <w:szCs w:val="32"/>
          <w:lang w:val="en-US" w:eastAsia="zh-CN" w:bidi="ar"/>
        </w:rPr>
        <w:t>行政办公及生活服务设施用地所占比重=行政办公、生活服务设施占用土地面积÷项目总用地面积×100%。当无法单独计算行政办公和生活服务设施占用土地面积时，可以采用行政办公和生活服务设施建筑面积占总建筑面积的比重计算得出的占用土地面积代替。</w:t>
      </w:r>
    </w:p>
    <w:p>
      <w:pPr>
        <w:keepNext w:val="0"/>
        <w:keepLines w:val="0"/>
        <w:widowControl w:val="0"/>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kern w:val="0"/>
          <w:sz w:val="32"/>
          <w:szCs w:val="32"/>
          <w:lang w:val="en-US" w:eastAsia="zh-CN" w:bidi="ar"/>
        </w:rPr>
        <w:t>固定资产投资强度=项目固定资产总投资÷项目总用地面积。其中项目固定资产总投资包括厂房、设备和地价款。</w:t>
      </w:r>
    </w:p>
    <w:p>
      <w:pPr>
        <w:keepNext w:val="0"/>
        <w:keepLines w:val="0"/>
        <w:widowControl w:val="0"/>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bidi="ar"/>
        </w:rPr>
      </w:pPr>
      <w:r>
        <w:rPr>
          <w:rFonts w:hint="eastAsia" w:ascii="仿宋_GB2312" w:hAnsi="仿宋_GB2312" w:eastAsia="仿宋_GB2312" w:cs="仿宋_GB2312"/>
          <w:kern w:val="0"/>
          <w:sz w:val="32"/>
          <w:szCs w:val="32"/>
          <w:lang w:val="en-US" w:eastAsia="zh-CN" w:bidi="ar"/>
        </w:rPr>
        <w:t>土地产出率=项目营业收入÷项目总用地面积。</w:t>
      </w:r>
    </w:p>
    <w:p>
      <w:pPr>
        <w:keepNext w:val="0"/>
        <w:keepLines w:val="0"/>
        <w:widowControl w:val="0"/>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val="en-US" w:eastAsia="zh-CN" w:bidi="ar"/>
        </w:rPr>
        <w:t>土地税收=项目税金上缴总额÷项目总用地面积。</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firstLineChars="200"/>
        <w:jc w:val="both"/>
        <w:rPr>
          <w:rFonts w:hint="eastAsia" w:ascii="黑体" w:hAnsi="宋体" w:eastAsia="黑体" w:cs="宋体"/>
          <w:kern w:val="0"/>
          <w:sz w:val="32"/>
          <w:szCs w:val="32"/>
          <w:lang w:val="en-US"/>
        </w:rPr>
      </w:pPr>
      <w:r>
        <w:rPr>
          <w:rFonts w:hint="eastAsia" w:ascii="黑体" w:hAnsi="宋体" w:eastAsia="黑体" w:cs="宋体"/>
          <w:kern w:val="0"/>
          <w:sz w:val="32"/>
          <w:szCs w:val="32"/>
          <w:lang w:val="en-US" w:eastAsia="zh-CN" w:bidi="ar"/>
        </w:rPr>
        <w:t>四、指标计算依据</w:t>
      </w:r>
    </w:p>
    <w:p>
      <w:pPr>
        <w:keepNext w:val="0"/>
        <w:keepLines w:val="0"/>
        <w:widowControl w:val="0"/>
        <w:suppressLineNumbers w:val="0"/>
        <w:autoSpaceDE w:val="0"/>
        <w:autoSpaceDN w:val="0"/>
        <w:adjustRightInd w:val="0"/>
        <w:spacing w:before="0" w:beforeAutospacing="0" w:after="0" w:afterAutospacing="0" w:line="360" w:lineRule="auto"/>
        <w:ind w:left="0" w:right="0" w:firstLine="645"/>
        <w:jc w:val="both"/>
        <w:rPr>
          <w:rFonts w:hint="eastAsia" w:ascii="仿宋_GB2312" w:eastAsia="仿宋_GB2312" w:cs="宋体"/>
          <w:kern w:val="0"/>
          <w:sz w:val="32"/>
          <w:szCs w:val="32"/>
          <w:lang w:val="en-US"/>
        </w:rPr>
      </w:pPr>
      <w:r>
        <w:rPr>
          <w:rFonts w:hint="eastAsia" w:ascii="仿宋_GB2312" w:hAnsi="Times New Roman" w:eastAsia="仿宋_GB2312" w:cs="宋体"/>
          <w:kern w:val="0"/>
          <w:sz w:val="32"/>
          <w:szCs w:val="32"/>
          <w:lang w:val="en-US" w:eastAsia="zh-CN" w:bidi="ar"/>
        </w:rPr>
        <w:t>1.项目</w:t>
      </w:r>
      <w:r>
        <w:rPr>
          <w:rFonts w:hint="eastAsia" w:ascii="仿宋_GB2312" w:hAnsi="宋体" w:eastAsia="仿宋_GB2312" w:cs="宋体"/>
          <w:kern w:val="0"/>
          <w:sz w:val="32"/>
          <w:szCs w:val="32"/>
          <w:lang w:val="en-US" w:eastAsia="zh-CN" w:bidi="ar"/>
        </w:rPr>
        <w:t>总建筑面积：</w:t>
      </w:r>
      <w:r>
        <w:rPr>
          <w:rFonts w:hint="eastAsia" w:ascii="仿宋_GB2312" w:hAnsi="Times New Roman" w:eastAsia="仿宋_GB2312" w:cs="宋体"/>
          <w:kern w:val="0"/>
          <w:sz w:val="32"/>
          <w:szCs w:val="32"/>
          <w:lang w:val="en-US" w:eastAsia="zh-CN" w:bidi="ar"/>
        </w:rPr>
        <w:t>《建筑工程建筑面积计算规范》（GB/T 50353-2013）。</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jc w:val="both"/>
        <w:rPr>
          <w:rFonts w:hint="eastAsia" w:ascii="仿宋_GB2312" w:hAnsi="Times New Roman" w:eastAsia="仿宋_GB2312" w:cs="宋体"/>
          <w:kern w:val="0"/>
          <w:sz w:val="32"/>
          <w:szCs w:val="32"/>
          <w:lang w:val="en-US" w:eastAsia="zh-CN" w:bidi="ar"/>
        </w:rPr>
      </w:pPr>
      <w:r>
        <w:rPr>
          <w:rFonts w:hint="eastAsia" w:ascii="仿宋_GB2312" w:hAnsi="Times New Roman" w:eastAsia="仿宋_GB2312" w:cs="宋体"/>
          <w:kern w:val="0"/>
          <w:sz w:val="32"/>
          <w:szCs w:val="32"/>
          <w:lang w:val="en-US" w:eastAsia="zh-CN" w:bidi="ar"/>
        </w:rPr>
        <w:t>2.项目总用地面积、</w:t>
      </w:r>
      <w:r>
        <w:rPr>
          <w:rFonts w:hint="eastAsia" w:ascii="仿宋_GB2312" w:hAnsi="宋体" w:eastAsia="仿宋_GB2312" w:cs="宋体"/>
          <w:kern w:val="0"/>
          <w:sz w:val="32"/>
          <w:szCs w:val="32"/>
          <w:lang w:val="en-US" w:eastAsia="zh-CN" w:bidi="ar"/>
        </w:rPr>
        <w:t>建筑物占地面积、构筑物占地面积：</w:t>
      </w:r>
      <w:r>
        <w:rPr>
          <w:rFonts w:hint="eastAsia" w:ascii="仿宋_GB2312" w:hAnsi="Times New Roman" w:eastAsia="仿宋_GB2312" w:cs="宋体"/>
          <w:kern w:val="0"/>
          <w:sz w:val="32"/>
          <w:szCs w:val="32"/>
          <w:lang w:val="en-US" w:eastAsia="zh-CN" w:bidi="ar"/>
        </w:rPr>
        <w:t>《地籍调查规程》（TD/T 1001-2012）。</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firstLineChars="200"/>
        <w:jc w:val="both"/>
        <w:rPr>
          <w:rFonts w:hint="eastAsia" w:ascii="仿宋_GB2312" w:hAnsi="Times New Roman" w:eastAsia="仿宋_GB2312" w:cs="宋体"/>
          <w:kern w:val="0"/>
          <w:sz w:val="32"/>
          <w:szCs w:val="32"/>
          <w:lang w:val="en-US" w:eastAsia="zh-CN" w:bidi="ar"/>
        </w:rPr>
      </w:pPr>
      <w:r>
        <w:rPr>
          <w:rFonts w:hint="eastAsia" w:ascii="仿宋_GB2312" w:hAnsi="宋体" w:eastAsia="仿宋_GB2312" w:cs="宋体"/>
          <w:kern w:val="0"/>
          <w:sz w:val="32"/>
          <w:szCs w:val="32"/>
          <w:lang w:val="en-US" w:eastAsia="zh-CN" w:bidi="ar"/>
        </w:rPr>
        <w:t>3.行政办公及生活服务设施</w:t>
      </w:r>
      <w:r>
        <w:rPr>
          <w:rFonts w:hint="eastAsia" w:ascii="仿宋_GB2312" w:hAnsi="Times New Roman" w:eastAsia="仿宋_GB2312" w:cs="宋体"/>
          <w:kern w:val="0"/>
          <w:sz w:val="32"/>
          <w:szCs w:val="32"/>
          <w:lang w:val="en-US" w:eastAsia="zh-CN" w:bidi="ar"/>
        </w:rPr>
        <w:t>建筑面积：</w:t>
      </w:r>
      <w:r>
        <w:rPr>
          <w:rFonts w:hint="eastAsia" w:ascii="仿宋_GB2312" w:hAnsi="宋体" w:eastAsia="仿宋_GB2312" w:cs="宋体"/>
          <w:kern w:val="0"/>
          <w:sz w:val="32"/>
          <w:szCs w:val="32"/>
          <w:lang w:val="en-US" w:eastAsia="zh-CN" w:bidi="ar"/>
        </w:rPr>
        <w:t>《房产测量规范》</w:t>
      </w:r>
      <w:r>
        <w:rPr>
          <w:rFonts w:hint="eastAsia" w:ascii="仿宋_GB2312" w:hAnsi="Times New Roman" w:eastAsia="仿宋_GB2312" w:cs="宋体"/>
          <w:kern w:val="0"/>
          <w:sz w:val="32"/>
          <w:szCs w:val="32"/>
          <w:lang w:val="en-US" w:eastAsia="zh-CN" w:bidi="ar"/>
        </w:rPr>
        <w:t>（GB/T 17986.1-2000）房屋用途。</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jc w:val="both"/>
        <w:rPr>
          <w:rFonts w:hint="eastAsia" w:ascii="仿宋_GB2312" w:eastAsia="仿宋_GB2312" w:cs="宋体"/>
          <w:kern w:val="0"/>
          <w:sz w:val="32"/>
          <w:szCs w:val="32"/>
          <w:lang w:val="en-US"/>
        </w:rPr>
      </w:pPr>
      <w:r>
        <w:rPr>
          <w:rFonts w:hint="eastAsia" w:ascii="仿宋_GB2312" w:hAnsi="Times New Roman" w:eastAsia="仿宋_GB2312" w:cs="宋体"/>
          <w:kern w:val="0"/>
          <w:sz w:val="32"/>
          <w:szCs w:val="32"/>
          <w:lang w:val="en-US" w:eastAsia="zh-CN" w:bidi="ar"/>
        </w:rPr>
        <w:t>4.</w:t>
      </w:r>
      <w:r>
        <w:rPr>
          <w:rFonts w:hint="eastAsia" w:ascii="仿宋_GB2312" w:hAnsi="宋体" w:eastAsia="仿宋_GB2312" w:cs="宋体"/>
          <w:kern w:val="0"/>
          <w:sz w:val="32"/>
          <w:szCs w:val="32"/>
          <w:lang w:val="en-US" w:eastAsia="zh-CN" w:bidi="ar"/>
        </w:rPr>
        <w:t>行政办公及生活服务设施用地面积:《房产测量规范》</w:t>
      </w:r>
      <w:r>
        <w:rPr>
          <w:rFonts w:hint="eastAsia" w:ascii="仿宋_GB2312" w:hAnsi="Times New Roman" w:eastAsia="仿宋_GB2312" w:cs="宋体"/>
          <w:kern w:val="0"/>
          <w:sz w:val="32"/>
          <w:szCs w:val="32"/>
          <w:lang w:val="en-US" w:eastAsia="zh-CN" w:bidi="ar"/>
        </w:rPr>
        <w:t>（GB/T 17986.1-2000）房屋用途。</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firstLineChars="200"/>
        <w:jc w:val="both"/>
        <w:rPr>
          <w:rFonts w:hint="eastAsia" w:ascii="仿宋_GB2312" w:eastAsia="仿宋_GB2312" w:cs="宋体"/>
          <w:kern w:val="0"/>
          <w:sz w:val="32"/>
          <w:szCs w:val="32"/>
          <w:lang w:val="en-US"/>
        </w:rPr>
      </w:pPr>
      <w:r>
        <w:rPr>
          <w:rFonts w:hint="eastAsia" w:ascii="仿宋_GB2312" w:hAnsi="Times New Roman" w:eastAsia="仿宋_GB2312" w:cs="宋体"/>
          <w:kern w:val="0"/>
          <w:sz w:val="32"/>
          <w:szCs w:val="32"/>
          <w:lang w:val="en-US" w:eastAsia="zh-CN" w:bidi="ar"/>
        </w:rPr>
        <w:t>上述标准发生修订的，按照修订后的执行。</w:t>
      </w:r>
    </w:p>
    <w:p>
      <w:pPr>
        <w:keepNext w:val="0"/>
        <w:keepLines w:val="0"/>
        <w:widowControl w:val="0"/>
        <w:suppressLineNumbers w:val="0"/>
        <w:autoSpaceDE w:val="0"/>
        <w:autoSpaceDN w:val="0"/>
        <w:adjustRightInd w:val="0"/>
        <w:spacing w:before="0" w:beforeAutospacing="0" w:after="0" w:afterAutospacing="0" w:line="360" w:lineRule="auto"/>
        <w:ind w:left="0" w:right="0" w:firstLine="640"/>
        <w:jc w:val="both"/>
        <w:rPr>
          <w:rFonts w:hint="eastAsia" w:ascii="仿宋_GB2312" w:eastAsia="仿宋_GB2312" w:cs="宋体"/>
          <w:kern w:val="0"/>
          <w:sz w:val="32"/>
          <w:szCs w:val="32"/>
          <w:lang w:val="en-US"/>
        </w:rPr>
      </w:pPr>
    </w:p>
    <w:p>
      <w:pPr>
        <w:keepNext w:val="0"/>
        <w:keepLines w:val="0"/>
        <w:widowControl/>
        <w:suppressLineNumbers w:val="0"/>
        <w:spacing w:before="100" w:beforeAutospacing="1" w:after="100" w:afterAutospacing="1"/>
        <w:ind w:left="0" w:right="0"/>
        <w:jc w:val="left"/>
        <w:rPr>
          <w:rFonts w:hint="eastAsia" w:ascii="仿宋_GB2312" w:hAnsi="宋体" w:eastAsia="仿宋_GB2312" w:cs="宋体"/>
          <w:b/>
          <w:kern w:val="0"/>
          <w:sz w:val="30"/>
          <w:szCs w:val="30"/>
          <w:lang w:val="en-US"/>
        </w:rPr>
      </w:pPr>
      <w:r>
        <w:rPr>
          <w:rFonts w:hint="eastAsia" w:ascii="仿宋_GB2312" w:hAnsi="Times New Roman" w:eastAsia="仿宋_GB2312" w:cs="宋体"/>
          <w:sz w:val="30"/>
          <w:szCs w:val="30"/>
          <w:lang w:val="en-US" w:eastAsia="zh-CN" w:bidi="ar"/>
        </w:rPr>
        <w:br w:type="page"/>
      </w:r>
      <w:r>
        <w:rPr>
          <w:rFonts w:hint="eastAsia" w:ascii="黑体" w:hAnsi="黑体" w:eastAsia="黑体" w:cs="黑体"/>
          <w:b w:val="0"/>
          <w:bCs/>
          <w:kern w:val="0"/>
          <w:sz w:val="28"/>
          <w:szCs w:val="28"/>
          <w:lang w:val="en-US" w:eastAsia="zh-CN" w:bidi="ar"/>
        </w:rPr>
        <w:t>表1</w:t>
      </w:r>
    </w:p>
    <w:p>
      <w:pPr>
        <w:keepNext w:val="0"/>
        <w:keepLines w:val="0"/>
        <w:widowControl/>
        <w:suppressLineNumbers w:val="0"/>
        <w:spacing w:before="0" w:beforeAutospacing="0" w:after="0" w:afterAutospacing="0"/>
        <w:ind w:left="0" w:right="0" w:firstLine="560" w:firstLineChars="200"/>
        <w:jc w:val="center"/>
        <w:rPr>
          <w:rFonts w:hint="default" w:ascii="黑体" w:hAnsi="黑体" w:eastAsia="黑体" w:cs="黑体"/>
          <w:spacing w:val="-20"/>
          <w:kern w:val="0"/>
          <w:sz w:val="32"/>
          <w:szCs w:val="32"/>
          <w:lang w:val="en-US" w:eastAsia="zh-CN" w:bidi="ar"/>
        </w:rPr>
      </w:pPr>
      <w:r>
        <w:rPr>
          <w:rFonts w:hint="eastAsia" w:ascii="黑体" w:hAnsi="黑体" w:eastAsia="黑体" w:cs="黑体"/>
          <w:spacing w:val="-20"/>
          <w:kern w:val="0"/>
          <w:sz w:val="32"/>
          <w:szCs w:val="32"/>
          <w:lang w:val="en-US" w:eastAsia="zh-CN" w:bidi="ar"/>
        </w:rPr>
        <w:t>容积率</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2"/>
        <w:gridCol w:w="4234"/>
        <w:gridCol w:w="1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代码</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行业名称</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控制值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13</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农副食品加工业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食品制造业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15</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酒、饮料和精制茶制造业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16</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烟草制品业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17</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纺织业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18</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纺织服装、服饰业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19</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皮革、毛皮、羽毛及其制品和制鞋业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20</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木材加工和木、竹、藤、棕、草制品业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21</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家具制造业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22</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造纸和纸制品业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23</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印刷和记录媒介复制业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24</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文教、工美、体育和娱乐用品制造业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石油、煤炭及其他燃料加工业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化学原料和化学制品制造业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医药制造业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化学纤维制造业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橡胶和塑料制品业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非金属矿物制品业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黑色金属冶炼和压延加工业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有色金属冶炼和压延加工业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金属制品业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通用设备制造业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专用设备制造业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汽车制造业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铁路、船舶、航空航天和其他运输设备制造业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电气机械和器材制造业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计算机、通信和其他电子设备制造业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仪器仪表制造业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其他制造业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废弃资源综合利用业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jc w:val="center"/>
        </w:trPr>
        <w:tc>
          <w:tcPr>
            <w:tcW w:w="1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c>
          <w:tcPr>
            <w:tcW w:w="42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金属制品、机械和设备修理业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0.8</w:t>
            </w:r>
          </w:p>
        </w:tc>
      </w:tr>
    </w:tbl>
    <w:p>
      <w:pPr>
        <w:keepNext w:val="0"/>
        <w:keepLines w:val="0"/>
        <w:widowControl/>
        <w:suppressLineNumbers w:val="0"/>
        <w:spacing w:before="100" w:beforeAutospacing="1" w:after="100" w:afterAutospacing="1"/>
        <w:ind w:left="0" w:right="0"/>
        <w:jc w:val="left"/>
        <w:rPr>
          <w:rFonts w:hint="eastAsia" w:ascii="仿宋_GB2312" w:hAnsi="宋体" w:eastAsia="仿宋_GB2312" w:cs="宋体"/>
          <w:b/>
          <w:kern w:val="0"/>
          <w:sz w:val="30"/>
          <w:szCs w:val="30"/>
          <w:lang w:val="en-US"/>
        </w:rPr>
      </w:pPr>
      <w:r>
        <w:rPr>
          <w:rFonts w:hint="eastAsia" w:ascii="黑体" w:hAnsi="黑体" w:eastAsia="黑体" w:cs="黑体"/>
          <w:b w:val="0"/>
          <w:bCs/>
          <w:kern w:val="0"/>
          <w:sz w:val="28"/>
          <w:szCs w:val="28"/>
          <w:lang w:val="en-US" w:eastAsia="zh-CN" w:bidi="ar"/>
        </w:rPr>
        <w:t>表2</w:t>
      </w:r>
    </w:p>
    <w:p>
      <w:pPr>
        <w:keepNext w:val="0"/>
        <w:keepLines w:val="0"/>
        <w:widowControl/>
        <w:suppressLineNumbers w:val="0"/>
        <w:spacing w:before="0" w:beforeAutospacing="0" w:after="0" w:afterAutospacing="0"/>
        <w:ind w:left="0" w:right="0" w:firstLine="560" w:firstLineChars="200"/>
        <w:jc w:val="center"/>
        <w:rPr>
          <w:rFonts w:hint="eastAsia" w:ascii="仿宋_GB2312" w:hAnsi="宋体" w:eastAsia="仿宋_GB2312" w:cs="宋体"/>
          <w:kern w:val="0"/>
          <w:sz w:val="30"/>
          <w:szCs w:val="30"/>
          <w:lang w:val="en-US"/>
        </w:rPr>
      </w:pPr>
      <w:r>
        <w:rPr>
          <w:rFonts w:hint="eastAsia" w:ascii="黑体" w:hAnsi="黑体" w:eastAsia="黑体" w:cs="黑体"/>
          <w:spacing w:val="-20"/>
          <w:kern w:val="0"/>
          <w:sz w:val="32"/>
          <w:szCs w:val="32"/>
          <w:lang w:val="en-US" w:eastAsia="zh-CN" w:bidi="ar"/>
        </w:rPr>
        <w:t>建筑系数</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4734"/>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代码</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行业名称</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控制值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13</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农副食品加工业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食品制造业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15</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酒、饮料和精制茶制造业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16</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烟草制品业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17</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纺织业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18</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纺织服装、服饰业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19</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皮革、毛皮、羽毛及其制品和制鞋业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20</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木材加工和木、竹、藤、棕、草制品业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21</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家具制造业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22</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造纸和纸制品业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23</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印刷和记录媒介复制业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24</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文教、工美、体育和娱乐用品制造业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石油、煤炭及其他燃料加工业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b/>
                <w:bCs w:val="0"/>
                <w:color w:val="000000"/>
                <w:kern w:val="0"/>
                <w:sz w:val="18"/>
                <w:szCs w:val="18"/>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化学原料和化学制品制造业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b/>
                <w:bCs w:val="0"/>
                <w:color w:val="000000"/>
                <w:kern w:val="0"/>
                <w:sz w:val="18"/>
                <w:szCs w:val="18"/>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医药制造业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化学纤维制造业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橡胶和塑料制品业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非金属矿物制品业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黑色金属冶炼和压延加工业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b/>
                <w:bCs w:val="0"/>
                <w:color w:val="000000"/>
                <w:kern w:val="0"/>
                <w:sz w:val="18"/>
                <w:szCs w:val="18"/>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有色金属冶炼和压延加工业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b/>
                <w:bCs w:val="0"/>
                <w:color w:val="000000"/>
                <w:kern w:val="0"/>
                <w:sz w:val="18"/>
                <w:szCs w:val="18"/>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金属制品业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通用设备制造业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专用设备制造业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汽车制造业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铁路、船舶、航空航天和其他运输设备制造业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电气机械和器材制造业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计算机、通信和其他电子设备制造业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仪器仪表制造业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其他制造业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废弃资源综合利用业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c>
          <w:tcPr>
            <w:tcW w:w="473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100" w:beforeAutospacing="1" w:after="100" w:afterAutospacing="1"/>
              <w:ind w:left="0" w:right="0"/>
              <w:jc w:val="both"/>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金属制品、机械和设备修理业</w:t>
            </w:r>
          </w:p>
        </w:tc>
        <w:tc>
          <w:tcPr>
            <w:tcW w:w="1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100" w:beforeAutospacing="1" w:after="100" w:afterAutospacing="1"/>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bl>
    <w:p>
      <w:pPr>
        <w:keepNext w:val="0"/>
        <w:keepLines w:val="0"/>
        <w:widowControl/>
        <w:suppressLineNumbers w:val="0"/>
        <w:spacing w:before="100" w:beforeAutospacing="1" w:after="100" w:afterAutospacing="1"/>
        <w:ind w:left="0" w:right="0"/>
        <w:jc w:val="left"/>
        <w:rPr>
          <w:rFonts w:hint="eastAsia" w:ascii="仿宋_GB2312" w:hAnsi="宋体" w:eastAsia="仿宋_GB2312" w:cs="宋体"/>
          <w:b/>
          <w:kern w:val="0"/>
          <w:sz w:val="30"/>
          <w:szCs w:val="30"/>
          <w:lang w:val="en-US"/>
        </w:rPr>
      </w:pPr>
      <w:r>
        <w:rPr>
          <w:rFonts w:hint="default" w:ascii="Times New Roman" w:hAnsi="Times New Roman" w:eastAsia="宋体" w:cs="Times New Roman"/>
          <w:kern w:val="2"/>
          <w:sz w:val="21"/>
          <w:szCs w:val="24"/>
          <w:lang w:val="en-US" w:eastAsia="zh-CN" w:bidi="ar"/>
        </w:rPr>
        <w:br w:type="page"/>
      </w:r>
      <w:r>
        <w:rPr>
          <w:rFonts w:hint="eastAsia" w:ascii="黑体" w:hAnsi="黑体" w:eastAsia="黑体" w:cs="黑体"/>
          <w:b w:val="0"/>
          <w:bCs/>
          <w:kern w:val="0"/>
          <w:sz w:val="28"/>
          <w:szCs w:val="28"/>
          <w:lang w:val="en-US" w:eastAsia="zh-CN" w:bidi="ar"/>
        </w:rPr>
        <w:t>表3</w:t>
      </w:r>
    </w:p>
    <w:p>
      <w:pPr>
        <w:keepNext w:val="0"/>
        <w:keepLines w:val="0"/>
        <w:widowControl/>
        <w:suppressLineNumbers w:val="0"/>
        <w:spacing w:before="0" w:beforeAutospacing="0" w:after="0" w:afterAutospacing="0"/>
        <w:ind w:left="0" w:right="0" w:firstLine="560" w:firstLineChars="200"/>
        <w:jc w:val="center"/>
        <w:rPr>
          <w:rFonts w:hint="eastAsia" w:ascii="黑体" w:hAnsi="黑体" w:eastAsia="黑体" w:cs="黑体"/>
          <w:spacing w:val="-20"/>
          <w:kern w:val="0"/>
          <w:sz w:val="32"/>
          <w:szCs w:val="32"/>
          <w:lang w:val="en-US" w:eastAsia="zh-CN" w:bidi="ar"/>
        </w:rPr>
      </w:pPr>
      <w:r>
        <w:rPr>
          <w:rFonts w:hint="eastAsia" w:ascii="黑体" w:hAnsi="黑体" w:eastAsia="黑体" w:cs="黑体"/>
          <w:spacing w:val="-20"/>
          <w:kern w:val="0"/>
          <w:sz w:val="32"/>
          <w:szCs w:val="32"/>
          <w:lang w:val="en-US" w:eastAsia="zh-CN" w:bidi="ar"/>
        </w:rPr>
        <w:t>行政办公及生活服务设施用地所占比重</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68"/>
        <w:gridCol w:w="68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4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100" w:beforeAutospacing="1" w:after="100" w:afterAutospacing="1"/>
              <w:ind w:left="0" w:right="0"/>
              <w:jc w:val="center"/>
              <w:rPr>
                <w:rFonts w:hint="eastAsia" w:ascii="宋体" w:hAnsi="宋体" w:eastAsia="宋体" w:cs="宋体"/>
                <w:b/>
                <w:bCs w:val="0"/>
                <w:color w:val="000000"/>
                <w:kern w:val="0"/>
                <w:sz w:val="28"/>
                <w:szCs w:val="28"/>
                <w:lang w:val="en-US" w:eastAsia="zh-CN" w:bidi="ar"/>
              </w:rPr>
            </w:pPr>
            <w:r>
              <w:rPr>
                <w:rFonts w:hint="eastAsia" w:ascii="宋体" w:hAnsi="宋体" w:eastAsia="宋体" w:cs="宋体"/>
                <w:b/>
                <w:bCs w:val="0"/>
                <w:color w:val="000000"/>
                <w:kern w:val="0"/>
                <w:sz w:val="28"/>
                <w:szCs w:val="28"/>
                <w:lang w:val="en-US" w:eastAsia="zh-CN" w:bidi="ar"/>
              </w:rPr>
              <w:t>区位</w:t>
            </w:r>
          </w:p>
        </w:tc>
        <w:tc>
          <w:tcPr>
            <w:tcW w:w="68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100" w:beforeAutospacing="1" w:after="100" w:afterAutospacing="1"/>
              <w:ind w:left="0" w:right="0"/>
              <w:jc w:val="center"/>
              <w:rPr>
                <w:rFonts w:hint="eastAsia" w:ascii="宋体" w:hAnsi="宋体" w:eastAsia="宋体" w:cs="宋体"/>
                <w:b/>
                <w:bCs w:val="0"/>
                <w:color w:val="000000"/>
                <w:kern w:val="0"/>
                <w:sz w:val="28"/>
                <w:szCs w:val="28"/>
                <w:lang w:val="en-US" w:eastAsia="zh-CN" w:bidi="ar"/>
              </w:rPr>
            </w:pPr>
            <w:r>
              <w:rPr>
                <w:rFonts w:hint="eastAsia" w:ascii="宋体" w:hAnsi="宋体" w:eastAsia="宋体" w:cs="宋体"/>
                <w:b/>
                <w:bCs w:val="0"/>
                <w:color w:val="000000"/>
                <w:kern w:val="0"/>
                <w:sz w:val="28"/>
                <w:szCs w:val="28"/>
                <w:lang w:val="en-US" w:eastAsia="zh-CN" w:bidi="ar"/>
              </w:rPr>
              <w:t>控制要求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4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100" w:beforeAutospacing="1" w:after="100" w:afterAutospacing="1"/>
              <w:ind w:left="0" w:right="0"/>
              <w:jc w:val="left"/>
              <w:rPr>
                <w:rFonts w:hint="default" w:ascii="Times New Roman" w:hAnsi="Times New Roman" w:eastAsia="仿宋_GB2312" w:cs="Times New Roman"/>
                <w:b/>
                <w:bCs w:val="0"/>
                <w:color w:val="000000"/>
                <w:kern w:val="0"/>
                <w:sz w:val="28"/>
                <w:szCs w:val="28"/>
                <w:lang w:val="en-US" w:eastAsia="zh-CN" w:bidi="ar"/>
              </w:rPr>
            </w:pPr>
            <w:r>
              <w:rPr>
                <w:rFonts w:hint="default" w:ascii="Times New Roman" w:hAnsi="Times New Roman" w:eastAsia="仿宋_GB2312" w:cs="Times New Roman"/>
                <w:b w:val="0"/>
                <w:bCs/>
                <w:color w:val="000000"/>
                <w:kern w:val="0"/>
                <w:sz w:val="28"/>
                <w:szCs w:val="28"/>
                <w:lang w:val="en-US" w:eastAsia="zh-CN" w:bidi="ar"/>
              </w:rPr>
              <w:t>工业项目用地范围内</w:t>
            </w:r>
          </w:p>
        </w:tc>
        <w:tc>
          <w:tcPr>
            <w:tcW w:w="68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firstLineChars="0"/>
              <w:jc w:val="left"/>
              <w:rPr>
                <w:rFonts w:hint="default" w:ascii="Times New Roman" w:hAnsi="Times New Roman" w:eastAsia="仿宋_GB2312" w:cs="Times New Roman"/>
                <w:b w:val="0"/>
                <w:bCs w:val="0"/>
                <w:color w:val="000000"/>
                <w:sz w:val="28"/>
                <w:szCs w:val="28"/>
                <w:lang w:val="en-US" w:eastAsia="zh-CN" w:bidi="ar"/>
              </w:rPr>
            </w:pPr>
            <w:r>
              <w:rPr>
                <w:rFonts w:hint="default" w:ascii="Times New Roman" w:hAnsi="Times New Roman" w:eastAsia="仿宋_GB2312" w:cs="Times New Roman"/>
                <w:b w:val="0"/>
                <w:bCs w:val="0"/>
                <w:color w:val="000000"/>
                <w:sz w:val="28"/>
                <w:szCs w:val="28"/>
                <w:lang w:val="en-US" w:eastAsia="zh-CN" w:bidi="ar"/>
              </w:rPr>
              <w:t>行政办公及生活服务设施用地面积≤工业项目总用地面积的7%，且建筑面积≤工业项目总建筑面积的15%，不得分割转让。</w:t>
            </w:r>
          </w:p>
          <w:p>
            <w:pPr>
              <w:keepNext w:val="0"/>
              <w:keepLines w:val="0"/>
              <w:widowControl/>
              <w:suppressLineNumbers w:val="0"/>
              <w:spacing w:before="0" w:beforeAutospacing="0" w:after="0" w:afterAutospacing="0"/>
              <w:ind w:left="0" w:right="0" w:firstLine="0" w:firstLineChars="0"/>
              <w:jc w:val="left"/>
              <w:rPr>
                <w:rFonts w:hint="default" w:ascii="Times New Roman" w:hAnsi="Times New Roman" w:eastAsia="仿宋_GB2312" w:cs="Times New Roman"/>
                <w:b/>
                <w:bCs w:val="0"/>
                <w:color w:val="000000"/>
                <w:kern w:val="0"/>
                <w:sz w:val="28"/>
                <w:szCs w:val="28"/>
                <w:lang w:val="en-US" w:eastAsia="zh-CN" w:bidi="ar"/>
              </w:rPr>
            </w:pPr>
            <w:r>
              <w:rPr>
                <w:rFonts w:hint="default" w:ascii="Times New Roman" w:hAnsi="Times New Roman" w:eastAsia="仿宋_GB2312" w:cs="Times New Roman"/>
                <w:b w:val="0"/>
                <w:bCs w:val="0"/>
                <w:color w:val="000000"/>
                <w:sz w:val="28"/>
                <w:szCs w:val="28"/>
                <w:lang w:val="en-US" w:eastAsia="zh-CN" w:bidi="ar"/>
              </w:rPr>
              <w:t>严禁建造成套住宅、专家楼、宾馆、招待所和培训中心等非生产性配套设施。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6" w:hRule="atLeast"/>
        </w:trPr>
        <w:tc>
          <w:tcPr>
            <w:tcW w:w="14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rPr>
                <w:rFonts w:hint="default" w:ascii="Times New Roman" w:hAnsi="Times New Roman" w:eastAsia="仿宋_GB2312" w:cs="Times New Roman"/>
                <w:b w:val="0"/>
                <w:bCs w:val="0"/>
                <w:color w:val="000000"/>
                <w:sz w:val="28"/>
                <w:szCs w:val="28"/>
                <w:lang w:val="en-US" w:eastAsia="zh-CN" w:bidi="ar"/>
              </w:rPr>
            </w:pPr>
            <w:r>
              <w:rPr>
                <w:rFonts w:hint="default" w:ascii="Times New Roman" w:hAnsi="Times New Roman" w:eastAsia="仿宋_GB2312" w:cs="Times New Roman"/>
                <w:b w:val="0"/>
                <w:bCs w:val="0"/>
                <w:color w:val="000000"/>
                <w:sz w:val="28"/>
                <w:szCs w:val="28"/>
                <w:lang w:val="en-US" w:eastAsia="zh-CN" w:bidi="ar"/>
              </w:rPr>
              <w:t>工业园区、工业项目</w:t>
            </w:r>
          </w:p>
          <w:p>
            <w:pPr>
              <w:jc w:val="left"/>
              <w:rPr>
                <w:rFonts w:hint="default" w:ascii="Times New Roman" w:hAnsi="Times New Roman" w:eastAsia="仿宋_GB2312" w:cs="Times New Roman"/>
                <w:i w:val="0"/>
                <w:color w:val="auto"/>
                <w:sz w:val="28"/>
                <w:szCs w:val="28"/>
                <w:u w:val="none"/>
                <w:lang w:val="en-US" w:eastAsia="zh-CN"/>
              </w:rPr>
            </w:pPr>
            <w:r>
              <w:rPr>
                <w:rFonts w:hint="default" w:ascii="Times New Roman" w:hAnsi="Times New Roman" w:eastAsia="仿宋_GB2312" w:cs="Times New Roman"/>
                <w:b w:val="0"/>
                <w:bCs w:val="0"/>
                <w:color w:val="000000"/>
                <w:sz w:val="28"/>
                <w:szCs w:val="28"/>
                <w:lang w:val="en-US" w:eastAsia="zh-CN" w:bidi="ar"/>
              </w:rPr>
              <w:t>聚集区内部</w:t>
            </w:r>
          </w:p>
        </w:tc>
        <w:tc>
          <w:tcPr>
            <w:tcW w:w="68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仿宋_GB2312" w:cs="Times New Roman"/>
                <w:i w:val="0"/>
                <w:color w:val="000000"/>
                <w:sz w:val="28"/>
                <w:szCs w:val="28"/>
                <w:u w:val="none"/>
                <w:lang w:bidi="ar"/>
              </w:rPr>
            </w:pPr>
            <w:r>
              <w:rPr>
                <w:rFonts w:hint="default" w:ascii="Times New Roman" w:hAnsi="Times New Roman" w:eastAsia="仿宋_GB2312" w:cs="Times New Roman"/>
                <w:b w:val="0"/>
                <w:bCs w:val="0"/>
                <w:color w:val="000000"/>
                <w:sz w:val="28"/>
                <w:szCs w:val="28"/>
                <w:lang w:val="en-US" w:eastAsia="zh-CN" w:bidi="ar"/>
              </w:rPr>
              <w:t>应合理规划工业生产必需的商业服务业、科研、仓储、租赁住房、公用设施等用地，促进复合利用、职住平衡，发挥整体利用效益。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31" w:hRule="atLeast"/>
        </w:trPr>
        <w:tc>
          <w:tcPr>
            <w:tcW w:w="14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rPr>
                <w:rFonts w:hint="default" w:ascii="Times New Roman" w:hAnsi="Times New Roman" w:eastAsia="仿宋_GB2312" w:cs="Times New Roman"/>
                <w:b w:val="0"/>
                <w:bCs w:val="0"/>
                <w:color w:val="000000"/>
                <w:sz w:val="28"/>
                <w:szCs w:val="28"/>
                <w:lang w:val="en-US" w:eastAsia="zh-CN" w:bidi="ar"/>
              </w:rPr>
            </w:pPr>
            <w:r>
              <w:rPr>
                <w:rFonts w:hint="default" w:ascii="Times New Roman" w:hAnsi="Times New Roman" w:eastAsia="仿宋_GB2312" w:cs="Times New Roman"/>
                <w:b w:val="0"/>
                <w:bCs w:val="0"/>
                <w:color w:val="000000"/>
                <w:sz w:val="28"/>
                <w:szCs w:val="28"/>
                <w:lang w:val="en-US" w:eastAsia="zh-CN" w:bidi="ar"/>
              </w:rPr>
              <w:t>工业园区、工业项目</w:t>
            </w:r>
          </w:p>
          <w:p>
            <w:pPr>
              <w:jc w:val="left"/>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b w:val="0"/>
                <w:bCs w:val="0"/>
                <w:color w:val="000000"/>
                <w:sz w:val="28"/>
                <w:szCs w:val="28"/>
                <w:lang w:val="en-US" w:eastAsia="zh-CN" w:bidi="ar"/>
              </w:rPr>
              <w:t>聚集区外部</w:t>
            </w:r>
          </w:p>
        </w:tc>
        <w:tc>
          <w:tcPr>
            <w:tcW w:w="68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b w:val="0"/>
                <w:bCs w:val="0"/>
                <w:color w:val="auto"/>
                <w:kern w:val="0"/>
                <w:sz w:val="28"/>
                <w:szCs w:val="28"/>
                <w:lang w:val="en-US" w:eastAsia="zh-CN" w:bidi="ar"/>
              </w:rPr>
              <w:t>单体大型工业项目，</w:t>
            </w:r>
            <w:r>
              <w:rPr>
                <w:rFonts w:hint="default" w:ascii="Times New Roman" w:hAnsi="Times New Roman" w:eastAsia="仿宋_GB2312" w:cs="Times New Roman"/>
                <w:kern w:val="0"/>
                <w:sz w:val="28"/>
                <w:szCs w:val="28"/>
                <w:lang w:val="en-US" w:eastAsia="zh-CN" w:bidi="ar"/>
              </w:rPr>
              <w:t>按照工业用地落实用途的战略性新兴产业</w:t>
            </w:r>
            <w:r>
              <w:rPr>
                <w:rFonts w:hint="eastAsia" w:ascii="Times New Roman" w:hAnsi="Times New Roman" w:eastAsia="仿宋_GB2312" w:cs="Times New Roman"/>
                <w:kern w:val="0"/>
                <w:sz w:val="28"/>
                <w:szCs w:val="28"/>
                <w:lang w:val="en-US" w:eastAsia="zh-CN" w:bidi="ar"/>
              </w:rPr>
              <w:t>、先进制造业项目，项目</w:t>
            </w:r>
            <w:r>
              <w:rPr>
                <w:rFonts w:hint="default" w:ascii="Times New Roman" w:hAnsi="Times New Roman" w:eastAsia="仿宋_GB2312" w:cs="Times New Roman"/>
                <w:b w:val="0"/>
                <w:bCs w:val="0"/>
                <w:color w:val="auto"/>
                <w:kern w:val="0"/>
                <w:sz w:val="28"/>
                <w:szCs w:val="28"/>
                <w:lang w:val="en-US" w:eastAsia="zh-CN" w:bidi="ar"/>
              </w:rPr>
              <w:t>用地范围内可以增加研发、创意、设计、检测、中试设施，增加的建筑面积≤工业项目总建筑面积的15%</w:t>
            </w:r>
            <w:r>
              <w:rPr>
                <w:rFonts w:hint="eastAsia" w:ascii="Times New Roman" w:hAnsi="Times New Roman" w:eastAsia="仿宋_GB2312" w:cs="Times New Roman"/>
                <w:b w:val="0"/>
                <w:bCs w:val="0"/>
                <w:color w:val="auto"/>
                <w:kern w:val="0"/>
                <w:sz w:val="28"/>
                <w:szCs w:val="28"/>
                <w:lang w:val="en-US" w:eastAsia="zh-CN" w:bidi="ar"/>
              </w:rPr>
              <w:t>，不得分割转让</w:t>
            </w:r>
            <w:r>
              <w:rPr>
                <w:rFonts w:hint="default" w:ascii="Times New Roman" w:hAnsi="Times New Roman" w:eastAsia="仿宋_GB2312" w:cs="Times New Roman"/>
                <w:b w:val="0"/>
                <w:bCs w:val="0"/>
                <w:color w:val="auto"/>
                <w:kern w:val="0"/>
                <w:sz w:val="28"/>
                <w:szCs w:val="28"/>
                <w:lang w:val="en-US" w:eastAsia="zh-CN" w:bidi="ar"/>
              </w:rPr>
              <w:t>。</w:t>
            </w:r>
          </w:p>
        </w:tc>
      </w:tr>
    </w:tbl>
    <w:p>
      <w:pPr>
        <w:keepNext w:val="0"/>
        <w:keepLines w:val="0"/>
        <w:widowControl/>
        <w:suppressLineNumbers w:val="0"/>
        <w:spacing w:before="0" w:beforeAutospacing="0" w:after="0" w:afterAutospacing="0"/>
        <w:ind w:left="0" w:right="0" w:firstLine="480" w:firstLineChars="200"/>
        <w:jc w:val="center"/>
        <w:rPr>
          <w:rFonts w:hint="eastAsia" w:ascii="方正小标宋_GBK" w:hAnsi="方正小标宋_GBK" w:eastAsia="方正小标宋_GBK" w:cs="方正小标宋_GBK"/>
          <w:b w:val="0"/>
          <w:bCs w:val="0"/>
          <w:spacing w:val="-20"/>
          <w:kern w:val="0"/>
          <w:sz w:val="28"/>
          <w:szCs w:val="28"/>
          <w:lang w:val="en-US" w:eastAsia="zh-CN" w:bidi="ar"/>
        </w:rPr>
      </w:pPr>
    </w:p>
    <w:p>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rPr>
          <w:rFonts w:hint="default" w:ascii="Times New Roman" w:hAnsi="Times New Roman" w:eastAsia="仿宋_GB2312" w:cs="Times New Roman"/>
          <w:b w:val="0"/>
          <w:bCs w:val="0"/>
          <w:color w:val="000000"/>
          <w:sz w:val="30"/>
          <w:szCs w:val="30"/>
          <w:lang w:val="en-US" w:eastAsia="zh-CN" w:bidi="ar"/>
        </w:rPr>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pPr>
    </w:p>
    <w:p>
      <w:pPr>
        <w:keepNext w:val="0"/>
        <w:keepLines w:val="0"/>
        <w:widowControl/>
        <w:suppressLineNumbers w:val="0"/>
        <w:spacing w:before="100" w:beforeAutospacing="1" w:after="100" w:afterAutospacing="1"/>
        <w:ind w:left="0" w:right="0"/>
        <w:jc w:val="left"/>
        <w:rPr>
          <w:rFonts w:hint="eastAsia" w:ascii="黑体" w:hAnsi="黑体" w:eastAsia="黑体" w:cs="黑体"/>
          <w:b w:val="0"/>
          <w:bCs/>
          <w:kern w:val="0"/>
          <w:sz w:val="28"/>
          <w:szCs w:val="28"/>
          <w:lang w:val="en-US" w:eastAsia="zh-CN" w:bidi="ar"/>
        </w:rPr>
      </w:pPr>
      <w:r>
        <w:rPr>
          <w:rFonts w:hint="eastAsia" w:ascii="黑体" w:hAnsi="黑体" w:eastAsia="黑体" w:cs="黑体"/>
          <w:b w:val="0"/>
          <w:bCs/>
          <w:kern w:val="0"/>
          <w:sz w:val="28"/>
          <w:szCs w:val="28"/>
          <w:lang w:val="en-US" w:eastAsia="zh-CN" w:bidi="ar"/>
        </w:rPr>
        <w:t>表4</w:t>
      </w:r>
    </w:p>
    <w:p>
      <w:pPr>
        <w:keepNext w:val="0"/>
        <w:keepLines w:val="0"/>
        <w:widowControl/>
        <w:suppressLineNumbers w:val="0"/>
        <w:spacing w:before="0" w:beforeAutospacing="0" w:after="0" w:afterAutospacing="0"/>
        <w:ind w:left="0" w:right="0" w:firstLine="560" w:firstLineChars="200"/>
        <w:jc w:val="center"/>
        <w:rPr>
          <w:rFonts w:hint="eastAsia" w:ascii="仿宋_GB2312" w:hAnsi="宋体" w:eastAsia="仿宋_GB2312" w:cs="宋体"/>
          <w:kern w:val="0"/>
          <w:sz w:val="30"/>
          <w:szCs w:val="30"/>
          <w:lang w:val="en-US"/>
        </w:rPr>
      </w:pPr>
      <w:r>
        <w:rPr>
          <w:rFonts w:hint="eastAsia" w:ascii="黑体" w:hAnsi="黑体" w:eastAsia="黑体" w:cs="黑体"/>
          <w:spacing w:val="-20"/>
          <w:kern w:val="0"/>
          <w:sz w:val="32"/>
          <w:szCs w:val="32"/>
          <w:lang w:val="en-US" w:eastAsia="zh-CN" w:bidi="ar"/>
        </w:rPr>
        <w:t>固定资产投资强度推荐值（万元/公顷）</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5"/>
        <w:gridCol w:w="3877"/>
        <w:gridCol w:w="1098"/>
        <w:gridCol w:w="1053"/>
        <w:gridCol w:w="1108"/>
        <w:gridCol w:w="1098"/>
        <w:gridCol w:w="974"/>
        <w:gridCol w:w="993"/>
        <w:gridCol w:w="974"/>
        <w:gridCol w:w="10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35" w:type="dxa"/>
            <w:vMerge w:val="restart"/>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代码</w:t>
            </w:r>
          </w:p>
        </w:tc>
        <w:tc>
          <w:tcPr>
            <w:tcW w:w="3877" w:type="dxa"/>
            <w:vMerge w:val="restart"/>
            <w:noWrap/>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行业名称</w:t>
            </w:r>
          </w:p>
        </w:tc>
        <w:tc>
          <w:tcPr>
            <w:tcW w:w="8324" w:type="dxa"/>
            <w:gridSpan w:val="8"/>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控制值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35" w:type="dxa"/>
            <w:vMerge w:val="continue"/>
            <w:noWrap w:val="0"/>
            <w:vAlign w:val="top"/>
          </w:tcPr>
          <w:p>
            <w:pPr>
              <w:rPr>
                <w:rFonts w:hint="default" w:ascii="Times New Roman" w:hAnsi="Times New Roman" w:eastAsia="Times New Roman" w:cs="Times New Roman"/>
                <w:sz w:val="20"/>
                <w:szCs w:val="20"/>
              </w:rPr>
            </w:pPr>
          </w:p>
        </w:tc>
        <w:tc>
          <w:tcPr>
            <w:tcW w:w="3877" w:type="dxa"/>
            <w:vMerge w:val="continue"/>
            <w:noWrap/>
            <w:vAlign w:val="top"/>
          </w:tcPr>
          <w:p>
            <w:pPr>
              <w:rPr>
                <w:rFonts w:hint="default" w:ascii="Times New Roman" w:hAnsi="Times New Roman" w:eastAsia="Times New Roman" w:cs="Times New Roman"/>
                <w:sz w:val="20"/>
                <w:szCs w:val="20"/>
              </w:rPr>
            </w:pPr>
          </w:p>
        </w:tc>
        <w:tc>
          <w:tcPr>
            <w:tcW w:w="7298" w:type="dxa"/>
            <w:gridSpan w:val="7"/>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工业项目</w:t>
            </w:r>
          </w:p>
        </w:tc>
        <w:tc>
          <w:tcPr>
            <w:tcW w:w="1026" w:type="dxa"/>
            <w:vMerge w:val="restart"/>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cs="宋体"/>
                <w:b/>
                <w:bCs w:val="0"/>
                <w:color w:val="000000"/>
                <w:kern w:val="0"/>
                <w:sz w:val="18"/>
                <w:szCs w:val="18"/>
                <w:lang w:val="en-US" w:eastAsia="zh-CN" w:bidi="ar"/>
              </w:rPr>
              <w:t>战略性新兴产业、先进制造业项目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exact"/>
        </w:trPr>
        <w:tc>
          <w:tcPr>
            <w:tcW w:w="535" w:type="dxa"/>
            <w:vMerge w:val="continue"/>
            <w:noWrap w:val="0"/>
            <w:vAlign w:val="top"/>
          </w:tcPr>
          <w:p>
            <w:pPr>
              <w:rPr>
                <w:rFonts w:hint="default" w:ascii="Times New Roman" w:hAnsi="Times New Roman" w:eastAsia="Times New Roman" w:cs="Times New Roman"/>
                <w:sz w:val="20"/>
                <w:szCs w:val="20"/>
              </w:rPr>
            </w:pPr>
          </w:p>
        </w:tc>
        <w:tc>
          <w:tcPr>
            <w:tcW w:w="3877" w:type="dxa"/>
            <w:vMerge w:val="continue"/>
            <w:noWrap/>
            <w:vAlign w:val="top"/>
          </w:tcPr>
          <w:p>
            <w:pPr>
              <w:rPr>
                <w:rFonts w:hint="default" w:ascii="Times New Roman" w:hAnsi="Times New Roman" w:eastAsia="Times New Roman" w:cs="Times New Roman"/>
                <w:sz w:val="20"/>
                <w:szCs w:val="20"/>
              </w:rPr>
            </w:pPr>
          </w:p>
        </w:tc>
        <w:tc>
          <w:tcPr>
            <w:tcW w:w="1098"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第一、二、三、四等</w:t>
            </w:r>
          </w:p>
        </w:tc>
        <w:tc>
          <w:tcPr>
            <w:tcW w:w="1053"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第五、六等</w:t>
            </w:r>
          </w:p>
        </w:tc>
        <w:tc>
          <w:tcPr>
            <w:tcW w:w="1108"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第七、八等</w:t>
            </w:r>
          </w:p>
        </w:tc>
        <w:tc>
          <w:tcPr>
            <w:tcW w:w="1098"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第九、十等</w:t>
            </w:r>
          </w:p>
        </w:tc>
        <w:tc>
          <w:tcPr>
            <w:tcW w:w="974"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第十一、十二等</w:t>
            </w:r>
          </w:p>
        </w:tc>
        <w:tc>
          <w:tcPr>
            <w:tcW w:w="993"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第十三、十四等</w:t>
            </w:r>
          </w:p>
        </w:tc>
        <w:tc>
          <w:tcPr>
            <w:tcW w:w="974" w:type="dxa"/>
            <w:noWrap w:val="0"/>
            <w:vAlign w:val="top"/>
          </w:tcPr>
          <w:p>
            <w:pPr>
              <w:keepNext w:val="0"/>
              <w:keepLines w:val="0"/>
              <w:widowControl/>
              <w:suppressLineNumbers w:val="0"/>
              <w:spacing w:before="0" w:beforeAutospacing="0" w:after="0" w:afterAutospacing="0"/>
              <w:ind w:left="0" w:right="0"/>
              <w:jc w:val="center"/>
              <w:rPr>
                <w:b/>
                <w:bCs w:val="0"/>
                <w:color w:val="000000"/>
                <w:kern w:val="0"/>
                <w:sz w:val="18"/>
                <w:szCs w:val="18"/>
                <w:lang w:val="en-US"/>
              </w:rPr>
            </w:pPr>
            <w:r>
              <w:rPr>
                <w:rFonts w:hint="eastAsia" w:ascii="Times New Roman" w:hAnsi="Times New Roman" w:eastAsia="宋体" w:cs="宋体"/>
                <w:b/>
                <w:bCs w:val="0"/>
                <w:color w:val="000000"/>
                <w:kern w:val="0"/>
                <w:sz w:val="18"/>
                <w:szCs w:val="18"/>
                <w:lang w:val="en-US" w:eastAsia="zh-CN" w:bidi="ar"/>
              </w:rPr>
              <w:t>第十五等</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13</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农副食品加工业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747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restart"/>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在工业项目基础上按照表</w:t>
            </w:r>
            <w:r>
              <w:rPr>
                <w:rFonts w:hint="default" w:ascii="Times New Roman" w:hAnsi="Times New Roman" w:eastAsia="宋体" w:cs="Times New Roman"/>
                <w:color w:val="000000"/>
                <w:kern w:val="0"/>
                <w:sz w:val="18"/>
                <w:szCs w:val="18"/>
                <w:lang w:val="en-US" w:eastAsia="zh-CN" w:bidi="ar"/>
              </w:rPr>
              <w:t>5</w:t>
            </w:r>
            <w:r>
              <w:rPr>
                <w:rFonts w:hint="eastAsia" w:ascii="Times New Roman" w:hAnsi="Times New Roman" w:cs="Times New Roman"/>
                <w:color w:val="000000"/>
                <w:kern w:val="0"/>
                <w:sz w:val="18"/>
                <w:szCs w:val="18"/>
                <w:lang w:val="en-US" w:eastAsia="zh-CN" w:bidi="ar"/>
              </w:rPr>
              <w:t>、表6</w:t>
            </w:r>
            <w:r>
              <w:rPr>
                <w:rFonts w:hint="eastAsia" w:ascii="Times New Roman" w:hAnsi="Times New Roman" w:eastAsia="宋体" w:cs="宋体"/>
                <w:color w:val="000000"/>
                <w:kern w:val="0"/>
                <w:sz w:val="18"/>
                <w:szCs w:val="18"/>
                <w:lang w:val="en-US" w:eastAsia="zh-CN" w:bidi="ar"/>
              </w:rPr>
              <w:t>对应的行业整体上浮</w:t>
            </w:r>
            <w:r>
              <w:rPr>
                <w:rFonts w:hint="default" w:ascii="Times New Roman" w:hAnsi="Times New Roman" w:eastAsia="宋体" w:cs="Times New Roman"/>
                <w:color w:val="000000"/>
                <w:kern w:val="0"/>
                <w:sz w:val="18"/>
                <w:szCs w:val="18"/>
                <w:lang w:val="en-US" w:eastAsia="zh-CN" w:bidi="ar"/>
              </w:rPr>
              <w:t>5%-10%</w:t>
            </w:r>
            <w:r>
              <w:rPr>
                <w:rFonts w:hint="eastAsia" w:ascii="Times New Roman" w:hAnsi="Times New Roman" w:eastAsia="宋体" w:cs="宋体"/>
                <w:color w:val="000000"/>
                <w:kern w:val="0"/>
                <w:sz w:val="18"/>
                <w:szCs w:val="18"/>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食品制造业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787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15</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酒、饮料和精制茶制造业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747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16</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烟草制品业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3070</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2846</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2459</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2101</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647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17</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纺织业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2603</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2414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2142</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1754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823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18</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纺织服装、服饰业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2603</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2414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2142</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1754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702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19</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皮革、毛皮、羽毛及其制品和制鞋业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682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20</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木材加工和木、竹、藤、棕、草制品业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2000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1519</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1409</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1217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864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632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21</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家具制造业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641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22</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造纸和纸制品业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787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23</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印刷和记录媒介复制业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3070</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2846</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2459</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2101</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858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24</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文教、工美、体育和娱乐用品制造业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2603</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2414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2142</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1754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702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石油、煤炭及其他燃料加工业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3070</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2846</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2459</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2101</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901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化学原料和化学制品制造业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3070</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2846</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2459</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2101</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819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医药制造业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3885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3581</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3541</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3357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2872</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1300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化学纤维制造业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4435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4187</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3984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3635</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2950</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1296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橡胶和塑料制品业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2603</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2414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2142</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1754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1250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非金属矿物制品业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2000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1519</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1409</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1217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864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813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黑色金属冶炼和压延加工业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3885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3581</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3541</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3357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2872</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1171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有色金属冶炼和压延加工业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3885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3581</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3541</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3357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2872</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942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金属制品业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3400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3070</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2846</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2459</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2101</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1080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通用设备制造业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3885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3581</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3541</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3357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2872</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1129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专用设备制造业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3885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3581</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3541</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3357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2872</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1234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汽车制造业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4435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4187</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3984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3635</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2950</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1234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铁路、船舶、航空航天和其他运输设备制造业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4435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4187</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3984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3635</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2950</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2046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电气机械和器材制造业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4435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4187</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3984</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3635</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2950</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1607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计算机、通信和其他电子设备制造业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5590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 xml:space="preserve">4585 </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 xml:space="preserve">4251 </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 xml:space="preserve">3673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 xml:space="preserve">3540 </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1415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仪器仪表制造业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3885</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3581</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3541</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3357</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2872</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1870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其他制造业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613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废弃资源综合利用业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613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535"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c>
          <w:tcPr>
            <w:tcW w:w="3877" w:type="dxa"/>
            <w:noWrap/>
            <w:vAlign w:val="top"/>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金属制品、机械和设备修理业</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2670</w:t>
            </w:r>
          </w:p>
        </w:tc>
        <w:tc>
          <w:tcPr>
            <w:tcW w:w="105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2028</w:t>
            </w:r>
          </w:p>
        </w:tc>
        <w:tc>
          <w:tcPr>
            <w:tcW w:w="110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1880</w:t>
            </w:r>
          </w:p>
        </w:tc>
        <w:tc>
          <w:tcPr>
            <w:tcW w:w="1098"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1696</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1204</w:t>
            </w:r>
          </w:p>
        </w:tc>
        <w:tc>
          <w:tcPr>
            <w:tcW w:w="993"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0"/>
                <w:sz w:val="18"/>
                <w:szCs w:val="18"/>
                <w:lang w:val="en-US" w:eastAsia="zh-CN" w:bidi="ar"/>
              </w:rPr>
              <w:t xml:space="preserve">613 </w:t>
            </w:r>
          </w:p>
        </w:tc>
        <w:tc>
          <w:tcPr>
            <w:tcW w:w="974" w:type="dxa"/>
            <w:noWrap w:val="0"/>
            <w:vAlign w:val="top"/>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等线" w:hAnsi="等线" w:eastAsia="等线" w:cs="等线"/>
                <w:color w:val="000000"/>
                <w:kern w:val="0"/>
                <w:sz w:val="18"/>
                <w:szCs w:val="18"/>
                <w:lang w:val="en-US" w:eastAsia="zh-CN" w:bidi="ar"/>
              </w:rPr>
              <w:t>≥</w:t>
            </w:r>
            <w:r>
              <w:rPr>
                <w:rFonts w:hint="default" w:ascii="Times New Roman" w:hAnsi="Times New Roman" w:eastAsia="等线" w:cs="Times New Roman"/>
                <w:color w:val="000000"/>
                <w:kern w:val="2"/>
                <w:sz w:val="18"/>
                <w:szCs w:val="18"/>
                <w:lang w:val="en-US" w:eastAsia="zh-CN" w:bidi="ar"/>
              </w:rPr>
              <w:t>500</w:t>
            </w:r>
          </w:p>
        </w:tc>
        <w:tc>
          <w:tcPr>
            <w:tcW w:w="1026" w:type="dxa"/>
            <w:vMerge w:val="continue"/>
            <w:noWrap w:val="0"/>
            <w:vAlign w:val="top"/>
          </w:tcPr>
          <w:p>
            <w:pPr>
              <w:rPr>
                <w:rFonts w:hint="default" w:ascii="Times New Roman" w:hAnsi="Times New Roman" w:eastAsia="Times New Roman" w:cs="Times New Roman"/>
                <w:sz w:val="20"/>
                <w:szCs w:val="20"/>
              </w:rPr>
            </w:pPr>
          </w:p>
        </w:tc>
      </w:tr>
    </w:tbl>
    <w:p>
      <w:pPr>
        <w:rPr>
          <w:rFonts w:hint="eastAsia" w:ascii="仿宋_GB2312" w:hAnsi="宋体" w:eastAsia="仿宋_GB2312" w:cs="宋体"/>
          <w:b/>
          <w:sz w:val="30"/>
          <w:szCs w:val="30"/>
          <w:lang w:val="en-US" w:eastAsia="zh-CN" w:bidi="ar"/>
        </w:rPr>
        <w:sectPr>
          <w:pgSz w:w="16838" w:h="11906" w:orient="landscape"/>
          <w:pgMar w:top="1797" w:right="1440" w:bottom="1797" w:left="1440" w:header="851" w:footer="992" w:gutter="0"/>
          <w:pgBorders w:offsetFrom="page">
            <w:top w:val="none" w:sz="0" w:space="0"/>
            <w:left w:val="none" w:sz="0" w:space="0"/>
            <w:bottom w:val="none" w:sz="0" w:space="0"/>
            <w:right w:val="none" w:sz="0" w:space="0"/>
          </w:pgBorders>
          <w:cols w:space="720" w:num="1"/>
          <w:docGrid w:type="linesAndChars" w:linePitch="312" w:charSpace="0"/>
        </w:sectPr>
      </w:pPr>
    </w:p>
    <w:p>
      <w:pPr>
        <w:keepNext w:val="0"/>
        <w:keepLines w:val="0"/>
        <w:widowControl/>
        <w:suppressLineNumbers w:val="0"/>
        <w:spacing w:before="100" w:beforeAutospacing="1" w:after="100" w:afterAutospacing="1"/>
        <w:ind w:left="0" w:right="0"/>
        <w:jc w:val="left"/>
        <w:rPr>
          <w:rFonts w:hint="eastAsia" w:ascii="黑体" w:hAnsi="黑体" w:eastAsia="黑体" w:cs="黑体"/>
          <w:b w:val="0"/>
          <w:bCs/>
          <w:kern w:val="0"/>
          <w:sz w:val="28"/>
          <w:szCs w:val="28"/>
          <w:lang w:val="en-US" w:eastAsia="zh-CN" w:bidi="ar"/>
        </w:rPr>
      </w:pPr>
      <w:r>
        <w:rPr>
          <w:rFonts w:hint="eastAsia" w:ascii="黑体" w:hAnsi="黑体" w:eastAsia="黑体" w:cs="黑体"/>
          <w:b w:val="0"/>
          <w:bCs/>
          <w:kern w:val="0"/>
          <w:sz w:val="28"/>
          <w:szCs w:val="28"/>
          <w:lang w:val="en-US" w:eastAsia="zh-CN" w:bidi="ar"/>
        </w:rPr>
        <w:t>表5</w:t>
      </w:r>
    </w:p>
    <w:p>
      <w:pPr>
        <w:keepNext w:val="0"/>
        <w:keepLines w:val="0"/>
        <w:widowControl/>
        <w:suppressLineNumbers w:val="0"/>
        <w:spacing w:before="0" w:beforeAutospacing="0" w:after="0" w:afterAutospacing="0"/>
        <w:ind w:left="0" w:right="0" w:firstLine="560" w:firstLineChars="200"/>
        <w:jc w:val="center"/>
        <w:rPr>
          <w:rFonts w:hint="eastAsia" w:ascii="黑体" w:hAnsi="黑体" w:eastAsia="黑体" w:cs="黑体"/>
          <w:spacing w:val="-20"/>
          <w:kern w:val="0"/>
          <w:sz w:val="32"/>
          <w:szCs w:val="32"/>
          <w:lang w:val="en-US" w:eastAsia="zh-CN" w:bidi="ar"/>
        </w:rPr>
      </w:pPr>
      <w:r>
        <w:rPr>
          <w:rFonts w:hint="eastAsia" w:ascii="黑体" w:hAnsi="黑体" w:eastAsia="黑体" w:cs="黑体"/>
          <w:spacing w:val="-20"/>
          <w:kern w:val="0"/>
          <w:sz w:val="32"/>
          <w:szCs w:val="32"/>
          <w:lang w:val="en-US" w:eastAsia="zh-CN" w:bidi="ar"/>
        </w:rPr>
        <w:t>战略性新兴产业与《国民经济行业分类》对照表</w:t>
      </w:r>
    </w:p>
    <w:tbl>
      <w:tblPr>
        <w:tblStyle w:val="4"/>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0"/>
        <w:gridCol w:w="3858"/>
        <w:gridCol w:w="36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blHeader/>
        </w:trPr>
        <w:tc>
          <w:tcPr>
            <w:tcW w:w="820" w:type="dxa"/>
            <w:tcBorders>
              <w:top w:val="single" w:color="auto" w:sz="8" w:space="0"/>
              <w:left w:val="nil"/>
              <w:bottom w:val="single" w:color="000000"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b/>
                <w:color w:val="000000"/>
                <w:kern w:val="0"/>
                <w:sz w:val="18"/>
                <w:szCs w:val="18"/>
                <w:lang w:val="en-US"/>
              </w:rPr>
            </w:pPr>
            <w:r>
              <w:rPr>
                <w:rFonts w:hint="eastAsia" w:ascii="Times New Roman" w:hAnsi="Times New Roman" w:eastAsia="宋体" w:cs="宋体"/>
                <w:b/>
                <w:color w:val="000000"/>
                <w:kern w:val="0"/>
                <w:sz w:val="18"/>
                <w:szCs w:val="18"/>
                <w:lang w:val="en-US" w:eastAsia="zh-CN" w:bidi="ar"/>
              </w:rPr>
              <w:t>代码</w:t>
            </w:r>
          </w:p>
        </w:tc>
        <w:tc>
          <w:tcPr>
            <w:tcW w:w="3858" w:type="dxa"/>
            <w:tcBorders>
              <w:top w:val="single" w:color="auto" w:sz="8" w:space="0"/>
              <w:left w:val="single" w:color="auto" w:sz="8" w:space="0"/>
              <w:bottom w:val="single" w:color="000000"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b/>
                <w:color w:val="000000"/>
                <w:kern w:val="0"/>
                <w:sz w:val="18"/>
                <w:szCs w:val="18"/>
                <w:lang w:val="en-US"/>
              </w:rPr>
            </w:pPr>
            <w:r>
              <w:rPr>
                <w:rFonts w:hint="eastAsia" w:ascii="Times New Roman" w:hAnsi="Times New Roman" w:eastAsia="宋体" w:cs="宋体"/>
                <w:b/>
                <w:color w:val="000000"/>
                <w:kern w:val="0"/>
                <w:sz w:val="18"/>
                <w:szCs w:val="18"/>
                <w:lang w:val="en-US" w:eastAsia="zh-CN" w:bidi="ar"/>
              </w:rPr>
              <w:t>战略性新兴产业名称</w:t>
            </w:r>
          </w:p>
        </w:tc>
        <w:tc>
          <w:tcPr>
            <w:tcW w:w="3686" w:type="dxa"/>
            <w:tcBorders>
              <w:top w:val="single" w:color="auto" w:sz="8" w:space="0"/>
              <w:left w:val="nil"/>
              <w:bottom w:val="nil"/>
              <w:right w:val="nil"/>
            </w:tcBorders>
            <w:noWrap w:val="0"/>
            <w:vAlign w:val="center"/>
          </w:tcPr>
          <w:p>
            <w:pPr>
              <w:keepNext w:val="0"/>
              <w:keepLines w:val="0"/>
              <w:widowControl/>
              <w:suppressLineNumbers w:val="0"/>
              <w:spacing w:before="0" w:beforeAutospacing="0" w:after="0" w:afterAutospacing="0"/>
              <w:ind w:left="0" w:right="0"/>
              <w:jc w:val="center"/>
              <w:rPr>
                <w:b/>
                <w:color w:val="000000"/>
                <w:kern w:val="0"/>
                <w:sz w:val="18"/>
                <w:szCs w:val="18"/>
                <w:lang w:val="en-US"/>
              </w:rPr>
            </w:pPr>
            <w:r>
              <w:rPr>
                <w:rFonts w:hint="eastAsia" w:ascii="Times New Roman" w:hAnsi="Times New Roman" w:eastAsia="宋体" w:cs="宋体"/>
                <w:b/>
                <w:color w:val="000000"/>
                <w:kern w:val="0"/>
                <w:sz w:val="18"/>
                <w:szCs w:val="18"/>
                <w:lang w:val="en-US" w:eastAsia="zh-CN" w:bidi="ar"/>
              </w:rPr>
              <w:t>国民经济行业代码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新一代信息技术产业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下一代信息网络产业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1.1.1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网络设备制造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1.1.2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新型计算机及信息终端设备制造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1.1.3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信息安全设备制造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电子核心产业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1.2.1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新型电子元器件及设备制造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1.2.2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电子专用设备仪器制造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1.2.3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高储能和关键电子材料制造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1.2.4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集成电路制造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1.5</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人工智能</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1.5.2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智能消费相关设备制造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高端装备制造产业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智能制造装备产业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2.1.1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机器人与增材设备制造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2.1.2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重大成套设备制造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2.1.3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智能测控装备制造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2.1.4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其他智能设备制造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2.1.5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智能关键基础零部件制造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2.1.6</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智能制造相关服务</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航空装备产业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2.2.1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航空器装备制造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2.2.2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其他航空装备制造及相关服务</w:t>
            </w:r>
            <w:r>
              <w:rPr>
                <w:rFonts w:hint="default" w:ascii="Times New Roman" w:hAnsi="Times New Roman" w:eastAsia="宋体" w:cs="Times New Roman"/>
                <w:color w:val="000000"/>
                <w:kern w:val="0"/>
                <w:sz w:val="18"/>
                <w:szCs w:val="18"/>
                <w:lang w:val="en-US" w:eastAsia="zh-CN" w:bidi="ar"/>
              </w:rPr>
              <w:t xml:space="preserve"> </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2.3</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卫星及应用产业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2.3.1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卫星装备制造</w:t>
            </w:r>
          </w:p>
        </w:tc>
        <w:tc>
          <w:tcPr>
            <w:tcW w:w="3686" w:type="dxa"/>
            <w:tcBorders>
              <w:top w:val="nil"/>
              <w:left w:val="single" w:color="auto" w:sz="8" w:space="0"/>
              <w:bottom w:val="nil"/>
              <w:right w:val="nil"/>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2.3.2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卫星应用技术设备制造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2.3.4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其他航天器及运载火箭制造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2.4</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轨道交通装备产业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2.4.1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铁路高端装备制造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2.4.2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城市轨道装备制造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2.4.3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其他轨道交通装备制造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海洋工程装备产业</w:t>
            </w:r>
            <w:r>
              <w:rPr>
                <w:rFonts w:hint="default" w:ascii="Times New Roman" w:hAnsi="Times New Roman" w:eastAsia="宋体" w:cs="Times New Roman"/>
                <w:color w:val="000000"/>
                <w:kern w:val="0"/>
                <w:sz w:val="18"/>
                <w:szCs w:val="18"/>
                <w:lang w:val="en-US" w:eastAsia="zh-CN" w:bidi="ar"/>
              </w:rPr>
              <w:t xml:space="preserve"> </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2.5.1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海洋工程装备制造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2.5.2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深海石油钻探设备制造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2.5.3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其他海洋相关设备与产品制造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2.5.4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海洋环境监测与探测装备制造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新材料产业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先进钢铁材料</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先进制造基础零部件用钢制造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高技术船舶及海洋工程用钢加工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先进轨道交通用钢加工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3.1.4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新型高强塑汽车钢加工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3.1.5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能源用钢加工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3.1.6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能源油气钻采集储用钢加工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3.1.7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石化压力容器用钢加工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3.1.8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新一代功能复合化建筑用钢加工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3.1.9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高性能工程、矿山及农业机械用钢加工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3.1.10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高品质不锈钢及耐蚀合金加工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3.1.11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其他先进钢铁材料制造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3.1.12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先进钢铁材料制品制造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先进有色金属材料</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3.2.1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铝及铝合金制造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3.2.2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铜及铜合金制造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3.2.3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钛及钛合金制造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3.2.4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镁及镁合金制造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3.2.5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稀有金属材料制造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3.2.6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贵金属材料制造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3.2.7 </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稀土新材料制造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3.2.8</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硬质合金及制品制造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3.2.9</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其他有色金属材料制造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先进石化化工新材料</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高性能塑料及树脂制造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聚氨酯材料及原料制造</w:t>
            </w:r>
          </w:p>
        </w:tc>
        <w:tc>
          <w:tcPr>
            <w:tcW w:w="3686" w:type="dxa"/>
            <w:vMerge w:val="restart"/>
            <w:tcBorders>
              <w:top w:val="nil"/>
              <w:left w:val="single" w:color="auto" w:sz="8" w:space="0"/>
              <w:bottom w:val="nil"/>
              <w:right w:val="nil"/>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氟硅合成材料制造</w:t>
            </w:r>
          </w:p>
        </w:tc>
        <w:tc>
          <w:tcPr>
            <w:tcW w:w="3686" w:type="dxa"/>
            <w:vMerge w:val="continue"/>
            <w:tcBorders>
              <w:top w:val="nil"/>
              <w:left w:val="single" w:color="auto" w:sz="8" w:space="0"/>
              <w:bottom w:val="nil"/>
              <w:right w:val="nil"/>
            </w:tcBorders>
            <w:noWrap w:val="0"/>
            <w:vAlign w:val="center"/>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高性能橡胶及弹性体制造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高性能膜材料制造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3.3.6</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专用化学品及材料制造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3.3.7</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新型功能涂层材料制造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3.3.8</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生物基合成材料制造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3.3.9</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生命基高分子材料及功能化合物制造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3.3.10</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其他化工新材料制造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先进无机非金属材料</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特种玻璃制造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特种陶瓷制造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人工晶体制造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新型建筑材料制造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矿物功能材料制造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高性能纤维及制品和复合材料</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高性能纤维及制品制造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高性能纤维复合材料制造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其他高性能复合材料制造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前沿新材料</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3D</w:t>
            </w:r>
            <w:r>
              <w:rPr>
                <w:rFonts w:hint="eastAsia" w:ascii="Times New Roman" w:hAnsi="Times New Roman" w:eastAsia="宋体" w:cs="宋体"/>
                <w:color w:val="000000"/>
                <w:kern w:val="0"/>
                <w:sz w:val="18"/>
                <w:szCs w:val="18"/>
                <w:lang w:val="en-US" w:eastAsia="zh-CN" w:bidi="ar"/>
              </w:rPr>
              <w:t>打印用材料制造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超导材料制造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智能、仿生与超材料制造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纳米材料制造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生物医用材料制造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3.6.6</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液态金属制造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生物医药产业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生物药品制品制造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化学药品与原料药制造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现代中药与民族药制造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4.1.4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生物医药关键装备与原辅料制造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生物医学工程产业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先进医疗设备及器械制造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植介入生物医用材料及设备制造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4.2.3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其他生物医用材料及用品制造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生物农业及相关产业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生物育种</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生物农药制造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生物肥料制造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生物饲料制造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生物兽药、兽用生物制品及疫苗制造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4.4</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生物质能产业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4.4.1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生物相关原料供应体系活动</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4.4.2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生物质燃料加工</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4.5</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其他生物业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4.5.1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生物基材料制造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4.5.2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生物化工制品制造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4.5.3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生物酶等发酵制品制造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4.5.4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海洋生物制品制造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4.5.5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其他生物工程相关设备制造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新能源汽车整车制造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5.1.0</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新能源汽车整车制造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新能源汽车装置、配件制造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5.2.1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电机、发动机制造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5.2.2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新能源汽车储能装置制造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5.2.3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新能源汽车零部件配件制造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5.3</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新能源汽车相关设施制造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5.3.1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供能装置制造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5.3.2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试验装置制造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5.3.3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其他相关设施制造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新能源产业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核电产业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6.1.1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核燃料加工及设备制造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6.1.2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核电装备制造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风能产业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6.2.1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风能发电机装备及零部件制造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6.2.2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风能发电其他相关装备及材料制造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6.2.5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风能发电工程技术服务</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6.3</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太阳能产业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6.3.1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太阳能设备和生产装备制造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6.3.2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太阳能材料制造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6.3.5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太阳能工程技术服务</w:t>
            </w:r>
          </w:p>
        </w:tc>
        <w:tc>
          <w:tcPr>
            <w:tcW w:w="3686" w:type="dxa"/>
            <w:tcBorders>
              <w:top w:val="nil"/>
              <w:left w:val="single" w:color="auto" w:sz="8" w:space="0"/>
              <w:bottom w:val="nil"/>
              <w:right w:val="nil"/>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6.4</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生物质能及其他新能源产业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6.4.1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生物质能及其他新能源设备制造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6.4.6</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生物质能工程技术服务</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6.5</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智能电网产业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6.5.1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智能电力控制设备及电缆制造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6.5.2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电力电子基础元器件制造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节能环保产业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高效节能产业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7.1.1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高效节能通用设备制造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7.1.2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高效节能专用设备制造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7.1.3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高效节能电气机械器材制造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7.1.4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高效节能工业控制装置制造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7.1.5</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绿色节能建筑材料制造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7.2</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先进环保产业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7.2.1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环境保护专用设备制造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7.2.2</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环境保护监测仪器及电子设备制造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7.2.3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环境污染处理药剂材料制造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7.3</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资源循环利用产业</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7.3.1</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矿产资源与工业废弃资源利用设备制造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7.3.3</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工业固体废物、废气、废液回收和资源化利用</w:t>
            </w:r>
            <w:r>
              <w:rPr>
                <w:rFonts w:hint="default" w:ascii="Times New Roman" w:hAnsi="Times New Roman" w:eastAsia="宋体" w:cs="Times New Roman"/>
                <w:color w:val="000000"/>
                <w:kern w:val="0"/>
                <w:sz w:val="18"/>
                <w:szCs w:val="18"/>
                <w:lang w:val="en-US" w:eastAsia="zh-CN" w:bidi="ar"/>
              </w:rPr>
              <w:t xml:space="preserve"> </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7.3.4</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城乡生活垃圾与农林废弃资源利用设备制造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7.3.7</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水及海水资源利用设备制造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8</w:t>
            </w:r>
          </w:p>
        </w:tc>
        <w:tc>
          <w:tcPr>
            <w:tcW w:w="3858" w:type="dxa"/>
            <w:tcBorders>
              <w:top w:val="nil"/>
              <w:left w:val="nil"/>
              <w:bottom w:val="nil"/>
              <w:right w:val="single" w:color="auto" w:sz="8" w:space="0"/>
            </w:tcBorders>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数字创意产业</w:t>
            </w:r>
          </w:p>
        </w:tc>
        <w:tc>
          <w:tcPr>
            <w:tcW w:w="3686" w:type="dxa"/>
            <w:shd w:val="clear" w:color="auto" w:fill="BFBFBF"/>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8.1</w:t>
            </w:r>
          </w:p>
        </w:tc>
        <w:tc>
          <w:tcPr>
            <w:tcW w:w="3858"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数字创意技术设备制造</w:t>
            </w:r>
          </w:p>
        </w:tc>
        <w:tc>
          <w:tcPr>
            <w:tcW w:w="3686" w:type="dxa"/>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82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8.1.0</w:t>
            </w:r>
          </w:p>
        </w:tc>
        <w:tc>
          <w:tcPr>
            <w:tcW w:w="3858"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数字创意技术设备制造</w:t>
            </w:r>
          </w:p>
        </w:tc>
        <w:tc>
          <w:tcPr>
            <w:tcW w:w="3686" w:type="dxa"/>
            <w:tcBorders>
              <w:top w:val="nil"/>
              <w:left w:val="single" w:color="auto" w:sz="8" w:space="0"/>
              <w:bottom w:val="nil"/>
              <w:right w:val="nil"/>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bl>
    <w:p>
      <w:pPr>
        <w:keepNext w:val="0"/>
        <w:keepLines w:val="0"/>
        <w:widowControl/>
        <w:suppressLineNumbers w:val="0"/>
        <w:spacing w:before="0" w:beforeAutospacing="0" w:after="0" w:afterAutospacing="0"/>
        <w:ind w:left="0" w:right="0"/>
        <w:jc w:val="left"/>
        <w:rPr>
          <w:rFonts w:hint="eastAsia" w:ascii="黑体" w:hAnsi="黑体" w:eastAsia="黑体" w:cs="黑体"/>
          <w:b w:val="0"/>
          <w:bCs/>
          <w:kern w:val="0"/>
          <w:sz w:val="28"/>
          <w:szCs w:val="28"/>
          <w:lang w:val="en-US" w:eastAsia="zh-CN" w:bidi="ar"/>
        </w:rPr>
      </w:pPr>
    </w:p>
    <w:p>
      <w:pPr>
        <w:keepNext w:val="0"/>
        <w:keepLines w:val="0"/>
        <w:widowControl/>
        <w:suppressLineNumbers w:val="0"/>
        <w:spacing w:before="0" w:beforeAutospacing="0" w:after="0" w:afterAutospacing="0"/>
        <w:ind w:left="0" w:right="0"/>
        <w:jc w:val="left"/>
        <w:rPr>
          <w:rFonts w:hint="eastAsia" w:ascii="黑体" w:hAnsi="黑体" w:eastAsia="黑体" w:cs="黑体"/>
          <w:b w:val="0"/>
          <w:bCs/>
          <w:kern w:val="0"/>
          <w:sz w:val="28"/>
          <w:szCs w:val="28"/>
          <w:lang w:val="en-US" w:eastAsia="zh-CN" w:bidi="ar"/>
        </w:rPr>
      </w:pPr>
    </w:p>
    <w:p>
      <w:pPr>
        <w:keepNext w:val="0"/>
        <w:keepLines w:val="0"/>
        <w:widowControl/>
        <w:suppressLineNumbers w:val="0"/>
        <w:spacing w:before="0" w:beforeAutospacing="0" w:after="0" w:afterAutospacing="0"/>
        <w:ind w:left="0" w:right="0"/>
        <w:jc w:val="left"/>
        <w:rPr>
          <w:rFonts w:hint="eastAsia" w:ascii="黑体" w:hAnsi="黑体" w:eastAsia="黑体" w:cs="黑体"/>
          <w:b w:val="0"/>
          <w:bCs/>
          <w:kern w:val="0"/>
          <w:sz w:val="28"/>
          <w:szCs w:val="28"/>
          <w:lang w:val="en-US" w:eastAsia="zh-CN" w:bidi="ar"/>
        </w:rPr>
      </w:pPr>
    </w:p>
    <w:p>
      <w:pPr>
        <w:keepNext w:val="0"/>
        <w:keepLines w:val="0"/>
        <w:widowControl/>
        <w:suppressLineNumbers w:val="0"/>
        <w:spacing w:before="0" w:beforeAutospacing="0" w:after="0" w:afterAutospacing="0"/>
        <w:ind w:left="0" w:right="0"/>
        <w:jc w:val="left"/>
        <w:rPr>
          <w:rFonts w:hint="eastAsia" w:ascii="黑体" w:hAnsi="黑体" w:eastAsia="黑体" w:cs="黑体"/>
          <w:b w:val="0"/>
          <w:bCs/>
          <w:kern w:val="0"/>
          <w:sz w:val="28"/>
          <w:szCs w:val="28"/>
          <w:lang w:val="en-US" w:eastAsia="zh-CN" w:bidi="ar"/>
        </w:rPr>
      </w:pPr>
    </w:p>
    <w:p>
      <w:pPr>
        <w:keepNext w:val="0"/>
        <w:keepLines w:val="0"/>
        <w:widowControl/>
        <w:suppressLineNumbers w:val="0"/>
        <w:spacing w:before="0" w:beforeAutospacing="0" w:after="0" w:afterAutospacing="0"/>
        <w:ind w:left="0" w:right="0"/>
        <w:jc w:val="left"/>
        <w:rPr>
          <w:rFonts w:hint="eastAsia" w:ascii="仿宋_GB2312" w:hAnsi="宋体" w:eastAsia="仿宋_GB2312" w:cs="宋体"/>
          <w:b/>
          <w:kern w:val="0"/>
          <w:sz w:val="30"/>
          <w:szCs w:val="30"/>
          <w:lang w:val="en-US"/>
        </w:rPr>
      </w:pPr>
      <w:r>
        <w:rPr>
          <w:rFonts w:hint="eastAsia" w:ascii="黑体" w:hAnsi="黑体" w:eastAsia="黑体" w:cs="黑体"/>
          <w:b w:val="0"/>
          <w:bCs/>
          <w:kern w:val="0"/>
          <w:sz w:val="28"/>
          <w:szCs w:val="28"/>
          <w:lang w:val="en-US" w:eastAsia="zh-CN" w:bidi="ar"/>
        </w:rPr>
        <w:br w:type="page"/>
      </w:r>
      <w:r>
        <w:rPr>
          <w:rFonts w:hint="eastAsia" w:ascii="黑体" w:hAnsi="黑体" w:eastAsia="黑体" w:cs="黑体"/>
          <w:b w:val="0"/>
          <w:bCs/>
          <w:kern w:val="0"/>
          <w:sz w:val="28"/>
          <w:szCs w:val="28"/>
          <w:lang w:val="en-US" w:eastAsia="zh-CN" w:bidi="ar"/>
        </w:rPr>
        <w:t>附表6</w:t>
      </w:r>
    </w:p>
    <w:p>
      <w:pPr>
        <w:keepNext w:val="0"/>
        <w:keepLines w:val="0"/>
        <w:widowControl/>
        <w:suppressLineNumbers w:val="0"/>
        <w:spacing w:before="0" w:beforeAutospacing="0" w:after="0" w:afterAutospacing="0"/>
        <w:ind w:left="0" w:right="0" w:firstLine="560" w:firstLineChars="200"/>
        <w:jc w:val="center"/>
        <w:rPr>
          <w:rFonts w:hint="eastAsia" w:ascii="黑体" w:hAnsi="黑体" w:eastAsia="黑体" w:cs="黑体"/>
          <w:b w:val="0"/>
          <w:spacing w:val="-20"/>
          <w:kern w:val="0"/>
          <w:sz w:val="32"/>
          <w:szCs w:val="32"/>
          <w:lang w:val="en-US" w:bidi="ar"/>
        </w:rPr>
      </w:pPr>
      <w:r>
        <w:rPr>
          <w:rFonts w:hint="eastAsia" w:ascii="黑体" w:hAnsi="黑体" w:eastAsia="黑体" w:cs="黑体"/>
          <w:spacing w:val="-20"/>
          <w:kern w:val="0"/>
          <w:sz w:val="32"/>
          <w:szCs w:val="32"/>
          <w:lang w:val="en-US" w:eastAsia="zh-CN" w:bidi="ar"/>
        </w:rPr>
        <w:t>先进制造业与《国民经济行业分类》对照表</w:t>
      </w:r>
    </w:p>
    <w:tbl>
      <w:tblPr>
        <w:tblStyle w:val="4"/>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0"/>
        <w:gridCol w:w="4625"/>
        <w:gridCol w:w="2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blHeader/>
        </w:trPr>
        <w:tc>
          <w:tcPr>
            <w:tcW w:w="760" w:type="dxa"/>
            <w:vMerge w:val="restart"/>
            <w:tcBorders>
              <w:top w:val="single" w:color="auto" w:sz="8" w:space="0"/>
              <w:left w:val="nil"/>
              <w:bottom w:val="single" w:color="000000"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b/>
                <w:color w:val="000000"/>
                <w:kern w:val="0"/>
                <w:sz w:val="18"/>
                <w:szCs w:val="18"/>
                <w:lang w:val="en-US"/>
              </w:rPr>
            </w:pPr>
            <w:r>
              <w:rPr>
                <w:rFonts w:hint="eastAsia" w:ascii="Times New Roman" w:hAnsi="Times New Roman" w:eastAsia="宋体" w:cs="宋体"/>
                <w:b/>
                <w:color w:val="000000"/>
                <w:kern w:val="0"/>
                <w:sz w:val="18"/>
                <w:szCs w:val="18"/>
                <w:lang w:val="en-US" w:eastAsia="zh-CN" w:bidi="ar"/>
              </w:rPr>
              <w:t>代码</w:t>
            </w:r>
          </w:p>
        </w:tc>
        <w:tc>
          <w:tcPr>
            <w:tcW w:w="4625" w:type="dxa"/>
            <w:vMerge w:val="restart"/>
            <w:tcBorders>
              <w:top w:val="single" w:color="auto" w:sz="8" w:space="0"/>
              <w:left w:val="single" w:color="auto" w:sz="8" w:space="0"/>
              <w:bottom w:val="single" w:color="000000"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b/>
                <w:color w:val="000000"/>
                <w:kern w:val="0"/>
                <w:sz w:val="18"/>
                <w:szCs w:val="18"/>
                <w:lang w:val="en-US"/>
              </w:rPr>
            </w:pPr>
            <w:r>
              <w:rPr>
                <w:rFonts w:hint="eastAsia" w:ascii="Times New Roman" w:hAnsi="Times New Roman" w:eastAsia="宋体" w:cs="宋体"/>
                <w:b/>
                <w:color w:val="000000"/>
                <w:kern w:val="0"/>
                <w:sz w:val="18"/>
                <w:szCs w:val="18"/>
                <w:lang w:val="en-US" w:eastAsia="zh-CN" w:bidi="ar"/>
              </w:rPr>
              <w:t>先进制造业名称</w:t>
            </w:r>
          </w:p>
        </w:tc>
        <w:tc>
          <w:tcPr>
            <w:tcW w:w="2837" w:type="dxa"/>
            <w:vMerge w:val="restart"/>
            <w:tcBorders>
              <w:top w:val="single" w:color="auto" w:sz="8" w:space="0"/>
              <w:left w:val="single" w:color="auto" w:sz="8" w:space="0"/>
              <w:bottom w:val="single" w:color="000000" w:sz="8" w:space="0"/>
              <w:right w:val="nil"/>
            </w:tcBorders>
            <w:noWrap w:val="0"/>
            <w:vAlign w:val="center"/>
          </w:tcPr>
          <w:p>
            <w:pPr>
              <w:keepNext w:val="0"/>
              <w:keepLines w:val="0"/>
              <w:widowControl/>
              <w:suppressLineNumbers w:val="0"/>
              <w:spacing w:before="0" w:beforeAutospacing="0" w:after="0" w:afterAutospacing="0"/>
              <w:ind w:left="0" w:right="0"/>
              <w:jc w:val="center"/>
              <w:rPr>
                <w:b/>
                <w:color w:val="000000"/>
                <w:kern w:val="0"/>
                <w:sz w:val="18"/>
                <w:szCs w:val="18"/>
                <w:lang w:val="en-US"/>
              </w:rPr>
            </w:pPr>
            <w:r>
              <w:rPr>
                <w:rFonts w:hint="eastAsia" w:ascii="Times New Roman" w:hAnsi="Times New Roman" w:eastAsia="宋体" w:cs="宋体"/>
                <w:b/>
                <w:color w:val="000000"/>
                <w:kern w:val="0"/>
                <w:sz w:val="18"/>
                <w:szCs w:val="18"/>
                <w:lang w:val="en-US" w:eastAsia="zh-CN" w:bidi="ar"/>
              </w:rPr>
              <w:t>国民经济行业代码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blHeader/>
        </w:trPr>
        <w:tc>
          <w:tcPr>
            <w:tcW w:w="760" w:type="dxa"/>
            <w:vMerge w:val="continue"/>
            <w:tcBorders>
              <w:top w:val="single" w:color="auto" w:sz="8" w:space="0"/>
              <w:left w:val="nil"/>
              <w:bottom w:val="single" w:color="000000" w:sz="8" w:space="0"/>
              <w:right w:val="single" w:color="auto" w:sz="8" w:space="0"/>
            </w:tcBorders>
            <w:noWrap w:val="0"/>
            <w:vAlign w:val="center"/>
          </w:tcPr>
          <w:p>
            <w:pPr>
              <w:rPr>
                <w:rFonts w:hint="default" w:ascii="Times New Roman" w:hAnsi="Times New Roman" w:eastAsia="Times New Roman" w:cs="Times New Roman"/>
                <w:sz w:val="20"/>
                <w:szCs w:val="20"/>
              </w:rPr>
            </w:pPr>
          </w:p>
        </w:tc>
        <w:tc>
          <w:tcPr>
            <w:tcW w:w="4625" w:type="dxa"/>
            <w:vMerge w:val="continue"/>
            <w:tcBorders>
              <w:top w:val="single" w:color="auto" w:sz="8" w:space="0"/>
              <w:left w:val="single" w:color="auto" w:sz="8" w:space="0"/>
              <w:bottom w:val="single" w:color="000000" w:sz="8" w:space="0"/>
              <w:right w:val="single" w:color="auto" w:sz="8" w:space="0"/>
            </w:tcBorders>
            <w:noWrap w:val="0"/>
            <w:vAlign w:val="center"/>
          </w:tcPr>
          <w:p>
            <w:pPr>
              <w:rPr>
                <w:rFonts w:hint="default" w:ascii="Times New Roman" w:hAnsi="Times New Roman" w:eastAsia="Times New Roman" w:cs="Times New Roman"/>
                <w:sz w:val="20"/>
                <w:szCs w:val="20"/>
              </w:rPr>
            </w:pPr>
          </w:p>
        </w:tc>
        <w:tc>
          <w:tcPr>
            <w:tcW w:w="2837" w:type="dxa"/>
            <w:vMerge w:val="continue"/>
            <w:tcBorders>
              <w:top w:val="single" w:color="auto" w:sz="8" w:space="0"/>
              <w:left w:val="single" w:color="auto" w:sz="8" w:space="0"/>
              <w:bottom w:val="single" w:color="000000" w:sz="8" w:space="0"/>
              <w:right w:val="nil"/>
            </w:tcBorders>
            <w:noWrap w:val="0"/>
            <w:vAlign w:val="center"/>
          </w:tcPr>
          <w:p>
            <w:pPr>
              <w:rPr>
                <w:rFonts w:hint="default" w:ascii="Times New Roman" w:hAnsi="Times New Roman" w:eastAsia="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先进制造业</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0201</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新一代信息技术设备制造</w:t>
            </w:r>
          </w:p>
        </w:tc>
        <w:tc>
          <w:tcPr>
            <w:tcW w:w="2837" w:type="dxa"/>
            <w:shd w:val="clear" w:color="auto" w:fill="D9D9D9"/>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网络设备制造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新型计算机及信息终端设备制造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信息安全设备制造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新型电子元器件及设备制造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 xml:space="preserve">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电子专用设备仪器制造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高储能和关键电子材料制造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集成电路及专用设备制造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智能消费相关设备制造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020109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数字创意技术设备制造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0202</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高端装备制造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航空器装备制造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其他航空装备制造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卫星装备制造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卫星应用技术设备制造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其他航天器及运载火箭制造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铁路高端装备制造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城市轨道装备制造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其他轨道交通装备制造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海洋工程装备制造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020210</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深海石油钻探设备制造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其他海洋相关设备与产品制造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海洋环境监测与探测装备制造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机器人与增材设备制造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重大成套设备制造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智能测控装备制造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其他智能设备制造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020217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智能关键基础零部件制造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0203</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先进钢铁材料制造</w:t>
            </w:r>
          </w:p>
        </w:tc>
        <w:tc>
          <w:tcPr>
            <w:tcW w:w="2837" w:type="dxa"/>
            <w:shd w:val="clear" w:color="auto" w:fill="D9D9D9"/>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020301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设备工程用先进钢材制造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020302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高品质不锈钢及耐蚀合金制造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020303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先进钢铁材料制品制造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0204</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先进有色金属材料制造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铝及铝合金制造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铜及铜合金制造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钛及钛合金制造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镁及镁合金制造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稀有金属材料制造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贵金属材料制造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稀土新材料制造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硬质合金及制品制造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020409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其他有色金属材料制造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0205</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先进石化化工新材料制造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高性能塑料及树脂制造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聚氨酯材料及原料制造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氟硅合成材料制造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高性能橡胶及弹性体制造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高性能膜材料制造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专用化学品及材料制造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新型功能涂层材料制造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生物基合成材料、高分子材料及功能化合物制造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020509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其他化工新材料制造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0206</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先进无机非金属材料制造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020601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特种玻璃制造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020602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特种陶瓷制造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020603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人工晶体制造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020604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新型建筑材料制造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020605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矿物功能材料制造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0207</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高性能纤维及制品和复合材料制造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020701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高性能纤维及制品制造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020702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高性能纤维复合材料制造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020703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其他高性能复合材料制造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0208</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前沿新材料制造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3D</w:t>
            </w:r>
            <w:r>
              <w:rPr>
                <w:rFonts w:hint="eastAsia" w:ascii="Times New Roman" w:hAnsi="Times New Roman" w:eastAsia="宋体" w:cs="宋体"/>
                <w:color w:val="000000"/>
                <w:kern w:val="0"/>
                <w:sz w:val="18"/>
                <w:szCs w:val="18"/>
                <w:lang w:val="en-US" w:eastAsia="zh-CN" w:bidi="ar"/>
              </w:rPr>
              <w:t>打印用材料制造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超导材料制造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智能、仿生与超材料制造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石墨烯材料制造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纳米材料制造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31</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生物医用材料制造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32</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020807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液态金属制造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0209</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生物产品制造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生物药品制品制造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化学药品与原料药制造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现代中药与民族药制造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生物医药关键装备与原辅料制造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生物农药制造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生物肥料制造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生物饲料制造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生物兽药、兽用生物制品及疫苗制造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生物基材料制造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020910</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生物化工制品制造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020911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生物酶等发酵制品制造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020912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海洋生物制品制造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0210</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生物质燃料制造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021001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生物乙醇制造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021002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生物航空煤油制造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021003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生物柴油制造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021004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生物质致密成型燃料制造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0211</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生物制造相关设备制造</w:t>
            </w:r>
          </w:p>
        </w:tc>
        <w:tc>
          <w:tcPr>
            <w:tcW w:w="2837" w:type="dxa"/>
            <w:shd w:val="clear" w:color="auto" w:fill="D9D9D9"/>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021101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先进医疗设备及器械制造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021102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植介入生物医用材料及设备制造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021103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其他生物医用材料及用品制造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021104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生物相关原料供应设备制造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021105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其他生物工程相关设备制造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0212</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新能源汽车及相关设备制造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新能源汽车整车制造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电机、发动机制造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新能源汽车储能装置制造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新能源汽车零部件配件制造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供能装置制造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试验装置制造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电控系统制造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智能网联传感及决策控制器制造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021209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其他相关设施制造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0213</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新能源设备制造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核燃料加工设备制造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核能装备制造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太阳能材料、设备和生产装备制造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生物质能及其他新能源设备制造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智能电力控制设备及电缆制造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电力电子基础元器件制造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风能发电机装备及零部件制造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021308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风能发电其他相关装备及材料制造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0214</w:t>
            </w:r>
          </w:p>
        </w:tc>
        <w:tc>
          <w:tcPr>
            <w:tcW w:w="4625" w:type="dxa"/>
            <w:tcBorders>
              <w:top w:val="nil"/>
              <w:left w:val="nil"/>
              <w:bottom w:val="nil"/>
              <w:right w:val="single" w:color="auto" w:sz="8" w:space="0"/>
            </w:tcBorders>
            <w:shd w:val="clear" w:color="auto" w:fill="D9D9D9"/>
            <w:noWrap w:val="0"/>
            <w:vAlign w:val="center"/>
          </w:tcPr>
          <w:p>
            <w:pPr>
              <w:keepNext w:val="0"/>
              <w:keepLines w:val="0"/>
              <w:widowControl/>
              <w:suppressLineNumbers w:val="0"/>
              <w:spacing w:before="0" w:beforeAutospacing="0" w:after="0" w:afterAutospacing="0"/>
              <w:ind w:left="0" w:right="0"/>
              <w:jc w:val="left"/>
              <w:rPr>
                <w:b/>
                <w:color w:val="000000"/>
                <w:kern w:val="0"/>
                <w:sz w:val="18"/>
                <w:szCs w:val="18"/>
                <w:lang w:val="en-US"/>
              </w:rPr>
            </w:pPr>
            <w:r>
              <w:rPr>
                <w:rFonts w:hint="default" w:ascii="Times New Roman" w:hAnsi="Times New Roman" w:eastAsia="宋体" w:cs="Times New Roman"/>
                <w:b/>
                <w:color w:val="000000"/>
                <w:kern w:val="0"/>
                <w:sz w:val="18"/>
                <w:szCs w:val="18"/>
                <w:lang w:val="en-US" w:eastAsia="zh-CN" w:bidi="ar"/>
              </w:rPr>
              <w:t xml:space="preserve">  </w:t>
            </w:r>
            <w:r>
              <w:rPr>
                <w:rFonts w:hint="eastAsia" w:ascii="Times New Roman" w:hAnsi="Times New Roman" w:eastAsia="宋体" w:cs="宋体"/>
                <w:b/>
                <w:color w:val="000000"/>
                <w:kern w:val="0"/>
                <w:sz w:val="18"/>
                <w:szCs w:val="18"/>
                <w:lang w:val="en-US" w:eastAsia="zh-CN" w:bidi="ar"/>
              </w:rPr>
              <w:t>节能环保设备和产品制造</w:t>
            </w:r>
          </w:p>
        </w:tc>
        <w:tc>
          <w:tcPr>
            <w:tcW w:w="2837" w:type="dxa"/>
            <w:shd w:val="clear" w:color="auto" w:fill="D9D9D9"/>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eastAsia" w:ascii="Times New Roman" w:hAnsi="Times New Roman" w:eastAsia="宋体" w:cs="宋体"/>
                <w:color w:val="00000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高效节能通用设备制造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高效节能专用设备制造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高效节能电气机械器材制造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021404</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高效节能工业控制装置制造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021405</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绿色节能建筑材料制造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29</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021406</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环境保护专用设备制造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38</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021407</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环境保护监测仪器及电子设备制造</w:t>
            </w:r>
          </w:p>
        </w:tc>
        <w:tc>
          <w:tcPr>
            <w:tcW w:w="2837" w:type="dxa"/>
            <w:noWrap w:val="0"/>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021408</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环境污染处理药剂材料制造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021409</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矿产资源与工业废弃资源利用设备制造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021410</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高效节水灌溉设备制造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021411</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高效工业节水设备制造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021412</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高效节水产品制造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34</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exact"/>
        </w:trPr>
        <w:tc>
          <w:tcPr>
            <w:tcW w:w="760"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021413</w:t>
            </w:r>
          </w:p>
        </w:tc>
        <w:tc>
          <w:tcPr>
            <w:tcW w:w="4625" w:type="dxa"/>
            <w:tcBorders>
              <w:top w:val="nil"/>
              <w:left w:val="nil"/>
              <w:bottom w:val="nil"/>
              <w:right w:val="single" w:color="auto" w:sz="8" w:space="0"/>
            </w:tcBorders>
            <w:noWrap w:val="0"/>
            <w:vAlign w:val="center"/>
          </w:tcPr>
          <w:p>
            <w:pPr>
              <w:keepNext w:val="0"/>
              <w:keepLines w:val="0"/>
              <w:widowControl/>
              <w:suppressLineNumbers w:val="0"/>
              <w:spacing w:before="0" w:beforeAutospacing="0" w:after="0" w:afterAutospacing="0"/>
              <w:ind w:left="0" w:right="0"/>
              <w:jc w:val="left"/>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 xml:space="preserve">    </w:t>
            </w:r>
            <w:r>
              <w:rPr>
                <w:rFonts w:hint="eastAsia" w:ascii="Times New Roman" w:hAnsi="Times New Roman" w:eastAsia="宋体" w:cs="宋体"/>
                <w:color w:val="000000"/>
                <w:kern w:val="0"/>
                <w:sz w:val="18"/>
                <w:szCs w:val="18"/>
                <w:lang w:val="en-US" w:eastAsia="zh-CN" w:bidi="ar"/>
              </w:rPr>
              <w:t>海水淡化和环境保护专用设备制造</w:t>
            </w:r>
          </w:p>
        </w:tc>
        <w:tc>
          <w:tcPr>
            <w:tcW w:w="2837" w:type="dxa"/>
            <w:noWrap/>
            <w:vAlign w:val="center"/>
          </w:tcPr>
          <w:p>
            <w:pPr>
              <w:keepNext w:val="0"/>
              <w:keepLines w:val="0"/>
              <w:widowControl/>
              <w:suppressLineNumbers w:val="0"/>
              <w:spacing w:before="0" w:beforeAutospacing="0" w:after="0" w:afterAutospacing="0"/>
              <w:ind w:left="0" w:right="0"/>
              <w:jc w:val="center"/>
              <w:rPr>
                <w:color w:val="000000"/>
                <w:kern w:val="0"/>
                <w:sz w:val="18"/>
                <w:szCs w:val="18"/>
                <w:lang w:val="en-US"/>
              </w:rPr>
            </w:pPr>
            <w:r>
              <w:rPr>
                <w:rFonts w:hint="default" w:ascii="Times New Roman" w:hAnsi="Times New Roman" w:eastAsia="宋体" w:cs="Times New Roman"/>
                <w:color w:val="000000"/>
                <w:kern w:val="0"/>
                <w:sz w:val="18"/>
                <w:szCs w:val="18"/>
                <w:lang w:val="en-US" w:eastAsia="zh-CN" w:bidi="ar"/>
              </w:rPr>
              <w:t>35</w:t>
            </w:r>
            <w:r>
              <w:rPr>
                <w:rFonts w:hint="eastAsia" w:ascii="Times New Roman" w:hAnsi="Times New Roman"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37</w:t>
            </w:r>
          </w:p>
        </w:tc>
      </w:tr>
    </w:tbl>
    <w:p>
      <w:pPr>
        <w:keepNext w:val="0"/>
        <w:keepLines w:val="0"/>
        <w:widowControl/>
        <w:suppressLineNumbers w:val="0"/>
        <w:spacing w:before="0" w:beforeAutospacing="0" w:after="0" w:afterAutospacing="0"/>
        <w:ind w:left="0" w:right="0" w:firstLine="520" w:firstLineChars="200"/>
        <w:jc w:val="center"/>
        <w:rPr>
          <w:rFonts w:hint="eastAsia" w:ascii="仿宋_GB2312" w:hAnsi="宋体" w:eastAsia="仿宋_GB2312" w:cs="宋体"/>
          <w:spacing w:val="-20"/>
          <w:kern w:val="0"/>
          <w:sz w:val="30"/>
          <w:szCs w:val="30"/>
          <w:lang w:val="en-US"/>
        </w:rPr>
      </w:pPr>
    </w:p>
    <w:p>
      <w:pPr>
        <w:keepNext w:val="0"/>
        <w:keepLines w:val="0"/>
        <w:widowControl/>
        <w:suppressLineNumbers w:val="0"/>
        <w:spacing w:before="0" w:beforeAutospacing="0" w:after="0" w:afterAutospacing="0"/>
        <w:ind w:left="0" w:right="0"/>
        <w:jc w:val="left"/>
        <w:rPr>
          <w:rFonts w:hint="eastAsia" w:ascii="仿宋_GB2312" w:hAnsi="宋体" w:eastAsia="仿宋_GB2312" w:cs="宋体"/>
          <w:kern w:val="0"/>
          <w:sz w:val="30"/>
          <w:szCs w:val="30"/>
          <w:lang w:val="en-US"/>
        </w:rPr>
      </w:pPr>
    </w:p>
    <w:p>
      <w:pPr>
        <w:keepNext w:val="0"/>
        <w:keepLines w:val="0"/>
        <w:widowControl w:val="0"/>
        <w:suppressLineNumbers w:val="0"/>
        <w:autoSpaceDE w:val="0"/>
        <w:autoSpaceDN w:val="0"/>
        <w:adjustRightInd w:val="0"/>
        <w:spacing w:before="0" w:beforeAutospacing="0" w:after="0" w:afterAutospacing="0" w:line="360" w:lineRule="auto"/>
        <w:ind w:left="0" w:right="0" w:firstLine="640"/>
        <w:jc w:val="both"/>
        <w:rPr>
          <w:rFonts w:hint="eastAsia" w:ascii="仿宋_GB2312" w:eastAsia="仿宋_GB2312" w:cs="宋体"/>
          <w:kern w:val="0"/>
          <w:sz w:val="32"/>
          <w:szCs w:val="32"/>
          <w:lang w:val="en-US"/>
        </w:rPr>
      </w:pPr>
    </w:p>
    <w:p>
      <w:pPr>
        <w:keepNext w:val="0"/>
        <w:keepLines w:val="0"/>
        <w:widowControl w:val="0"/>
        <w:suppressLineNumbers w:val="0"/>
        <w:autoSpaceDE w:val="0"/>
        <w:autoSpaceDN w:val="0"/>
        <w:adjustRightInd w:val="0"/>
        <w:spacing w:before="0" w:beforeAutospacing="0" w:after="0" w:afterAutospacing="0" w:line="360" w:lineRule="auto"/>
        <w:ind w:left="0" w:right="0" w:firstLine="31680"/>
        <w:jc w:val="both"/>
        <w:rPr>
          <w:rFonts w:hint="eastAsia" w:ascii="仿宋_GB2312" w:eastAsia="仿宋_GB2312" w:cs="宋体"/>
          <w:kern w:val="0"/>
          <w:sz w:val="32"/>
          <w:szCs w:val="32"/>
          <w:lang w:val="en-US"/>
        </w:rPr>
      </w:pPr>
    </w:p>
    <w:p>
      <w:pPr>
        <w:keepNext w:val="0"/>
        <w:keepLines w:val="0"/>
        <w:widowControl/>
        <w:suppressLineNumbers w:val="0"/>
        <w:spacing w:before="0" w:beforeAutospacing="0" w:after="0" w:afterAutospacing="0"/>
        <w:ind w:left="0" w:right="0" w:firstLine="520" w:firstLineChars="200"/>
        <w:jc w:val="center"/>
        <w:rPr>
          <w:rFonts w:hint="eastAsia" w:ascii="仿宋_GB2312" w:hAnsi="宋体" w:eastAsia="仿宋_GB2312" w:cs="宋体"/>
          <w:spacing w:val="-20"/>
          <w:kern w:val="0"/>
          <w:sz w:val="30"/>
          <w:szCs w:val="30"/>
          <w:lang w:val="en-US"/>
        </w:rPr>
      </w:pPr>
    </w:p>
    <w:p/>
    <w:p/>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240" w:lineRule="auto"/>
        <w:ind w:left="0" w:right="0" w:firstLine="0"/>
        <w:jc w:val="left"/>
        <w:textAlignment w:val="auto"/>
        <w:rPr>
          <w:rFonts w:hint="eastAsia" w:ascii="黑体" w:hAnsi="黑体" w:eastAsia="黑体" w:cs="黑体"/>
          <w:kern w:val="0"/>
          <w:sz w:val="32"/>
          <w:szCs w:val="32"/>
          <w:lang w:val="en-US" w:eastAsia="zh-CN" w:bidi="ar"/>
        </w:rPr>
      </w:pP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240" w:lineRule="auto"/>
        <w:ind w:left="0" w:right="0" w:firstLine="0"/>
        <w:jc w:val="left"/>
        <w:textAlignment w:val="auto"/>
        <w:rPr>
          <w:rFonts w:hint="default" w:ascii="黑体" w:hAnsi="黑体" w:eastAsia="黑体" w:cs="黑体"/>
          <w:kern w:val="0"/>
          <w:sz w:val="32"/>
          <w:szCs w:val="32"/>
          <w:lang w:val="en-US" w:eastAsia="zh-CN" w:bidi="ar"/>
        </w:rPr>
      </w:pPr>
    </w:p>
    <w:p>
      <w:pPr>
        <w:keepNext w:val="0"/>
        <w:keepLines w:val="0"/>
        <w:pageBreakBefore w:val="0"/>
        <w:widowControl/>
        <w:suppressLineNumbers w:val="0"/>
        <w:kinsoku/>
        <w:overflowPunct/>
        <w:topLinePunct w:val="0"/>
        <w:autoSpaceDE/>
        <w:autoSpaceDN/>
        <w:bidi w:val="0"/>
        <w:adjustRightInd/>
        <w:snapToGrid w:val="0"/>
        <w:spacing w:before="0" w:beforeAutospacing="0" w:after="0" w:afterAutospacing="0" w:line="360" w:lineRule="auto"/>
        <w:ind w:left="0" w:right="0" w:firstLine="640"/>
        <w:jc w:val="both"/>
        <w:textAlignment w:val="auto"/>
        <w:rPr>
          <w:rFonts w:hint="default" w:ascii="Times New Roman" w:hAnsi="Times New Roman" w:eastAsia="仿宋_GB2312" w:cs="Times New Roman"/>
          <w:kern w:val="0"/>
          <w:sz w:val="32"/>
          <w:szCs w:val="32"/>
          <w:lang w:val="en-US" w:eastAsia="zh-CN" w:bidi="ar"/>
        </w:rPr>
      </w:pPr>
    </w:p>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2000000000000000000"/>
    <w:charset w:val="86"/>
    <w:family w:val="auto"/>
    <w:pitch w:val="default"/>
    <w:sig w:usb0="A00002BF" w:usb1="38CF7CFA"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path/>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E04C82"/>
    <w:multiLevelType w:val="singleLevel"/>
    <w:tmpl w:val="1EE04C8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4F12595"/>
    <w:rsid w:val="0D015041"/>
    <w:rsid w:val="1E9C2B85"/>
    <w:rsid w:val="245801F2"/>
    <w:rsid w:val="2DDD69F4"/>
    <w:rsid w:val="30211B24"/>
    <w:rsid w:val="38D16A98"/>
    <w:rsid w:val="420D1EEE"/>
    <w:rsid w:val="48930666"/>
    <w:rsid w:val="495806EC"/>
    <w:rsid w:val="4B0F31F5"/>
    <w:rsid w:val="4D896276"/>
    <w:rsid w:val="56DF7F99"/>
    <w:rsid w:val="5EFE2412"/>
    <w:rsid w:val="6E1D6435"/>
    <w:rsid w:val="701A04B7"/>
    <w:rsid w:val="74F12595"/>
    <w:rsid w:val="784350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textRotate="1"/>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2021-03-05T01:37:00Z</dcterms:created>
  <dc:creator>马梅</dc:creator>
  <cp:lastModifiedBy>Administrator</cp:lastModifiedBy>
  <dcterms:modified xsi:type="dcterms:W3CDTF">2021-08-16T07:02:05Z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KSOSaveFontToCloudKey">
    <vt:lpwstr>702163741_cloud</vt:lpwstr>
  </property>
  <property fmtid="{D5CDD505-2E9C-101B-9397-08002B2CF9AE}" pid="4" name="ICV">
    <vt:lpwstr>B6644EE913B5417C981D48081AE39EA2</vt:lpwstr>
  </property>
</Properties>
</file>