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178" w:rightChars="-85"/>
        <w:jc w:val="center"/>
        <w:rPr>
          <w:rFonts w:ascii="仿宋_GB2312" w:hAnsi="仿宋" w:eastAsia="仿宋_GB2312"/>
          <w:bCs/>
          <w:sz w:val="48"/>
          <w:szCs w:val="48"/>
        </w:rPr>
      </w:pPr>
      <w:r>
        <w:rPr>
          <w:rFonts w:hint="eastAsia" w:ascii="仿宋_GB2312" w:hAnsi="仿宋" w:eastAsia="仿宋_GB2312"/>
          <w:bCs/>
          <w:sz w:val="48"/>
          <w:szCs w:val="48"/>
        </w:rPr>
        <w:t>广东</w:t>
      </w:r>
      <w:r>
        <w:rPr>
          <w:rFonts w:hint="eastAsia" w:ascii="仿宋_GB2312" w:hAnsi="仿宋" w:eastAsia="仿宋_GB2312"/>
          <w:bCs/>
          <w:sz w:val="48"/>
          <w:szCs w:val="48"/>
          <w:lang w:val="en-US" w:eastAsia="zh-CN"/>
        </w:rPr>
        <w:t>XXXX</w:t>
      </w:r>
      <w:r>
        <w:rPr>
          <w:rFonts w:hint="eastAsia" w:ascii="仿宋_GB2312" w:hAnsi="仿宋" w:eastAsia="仿宋_GB2312"/>
          <w:bCs/>
          <w:sz w:val="48"/>
          <w:szCs w:val="48"/>
        </w:rPr>
        <w:t>矿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kern w:val="0"/>
          <w:sz w:val="52"/>
          <w:szCs w:val="52"/>
        </w:rPr>
      </w:pPr>
      <w:r>
        <w:rPr>
          <w:rFonts w:hint="eastAsia" w:ascii="黑体" w:hAnsi="黑体" w:eastAsia="黑体"/>
          <w:b/>
          <w:kern w:val="0"/>
          <w:sz w:val="52"/>
          <w:szCs w:val="52"/>
        </w:rPr>
        <w:t>矿山地质环境保护与土地复垦方案</w:t>
      </w: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spacing w:line="360" w:lineRule="auto"/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广东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XXXX</w:t>
      </w:r>
      <w:r>
        <w:rPr>
          <w:rFonts w:hint="eastAsia" w:ascii="宋体" w:hAnsi="宋体"/>
          <w:b/>
          <w:bCs/>
          <w:sz w:val="44"/>
          <w:szCs w:val="44"/>
        </w:rPr>
        <w:t>有限公司</w:t>
      </w:r>
    </w:p>
    <w:p>
      <w:pPr>
        <w:jc w:val="center"/>
        <w:rPr>
          <w:rFonts w:ascii="宋体"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 xml:space="preserve">   </w:t>
      </w:r>
      <w:r>
        <w:rPr>
          <w:rFonts w:hint="eastAsia" w:ascii="宋体" w:hAnsi="宋体"/>
          <w:b/>
          <w:sz w:val="44"/>
          <w:szCs w:val="44"/>
        </w:rPr>
        <w:t>年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 xml:space="preserve">   </w:t>
      </w:r>
      <w:r>
        <w:rPr>
          <w:rFonts w:hint="eastAsia" w:ascii="宋体" w:hAnsi="宋体"/>
          <w:b/>
          <w:sz w:val="44"/>
          <w:szCs w:val="44"/>
        </w:rPr>
        <w:t>月</w:t>
      </w:r>
    </w:p>
    <w:p>
      <w:pPr>
        <w:rPr>
          <w:rFonts w:ascii="宋体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418" w:bottom="1440" w:left="1797" w:header="851" w:footer="992" w:gutter="0"/>
          <w:pgNumType w:start="0"/>
          <w:cols w:space="425" w:num="1"/>
          <w:titlePg/>
          <w:docGrid w:type="lines" w:linePitch="312" w:charSpace="0"/>
        </w:sectPr>
      </w:pPr>
    </w:p>
    <w:p>
      <w:pPr>
        <w:rPr>
          <w:rFonts w:ascii="宋体"/>
        </w:rPr>
        <w:sectPr>
          <w:type w:val="continuous"/>
          <w:pgSz w:w="11906" w:h="16838"/>
          <w:pgMar w:top="1440" w:right="1418" w:bottom="1440" w:left="1797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360" w:lineRule="auto"/>
        <w:ind w:right="-99" w:rightChars="-47"/>
        <w:jc w:val="center"/>
        <w:rPr>
          <w:rFonts w:ascii="仿宋_GB2312" w:hAnsi="仿宋" w:eastAsia="仿宋_GB2312"/>
          <w:bCs/>
          <w:sz w:val="48"/>
          <w:szCs w:val="48"/>
        </w:rPr>
      </w:pPr>
      <w:r>
        <w:rPr>
          <w:rFonts w:hint="eastAsia" w:ascii="仿宋_GB2312" w:hAnsi="仿宋" w:eastAsia="仿宋_GB2312"/>
          <w:bCs/>
          <w:sz w:val="48"/>
          <w:szCs w:val="48"/>
        </w:rPr>
        <w:t>广东</w:t>
      </w:r>
      <w:r>
        <w:rPr>
          <w:rFonts w:hint="eastAsia" w:ascii="仿宋_GB2312" w:hAnsi="仿宋" w:eastAsia="仿宋_GB2312"/>
          <w:bCs/>
          <w:sz w:val="48"/>
          <w:szCs w:val="48"/>
          <w:lang w:val="en-US" w:eastAsia="zh-CN"/>
        </w:rPr>
        <w:t>XXXX</w:t>
      </w:r>
      <w:r>
        <w:rPr>
          <w:rFonts w:hint="eastAsia" w:ascii="仿宋_GB2312" w:hAnsi="仿宋" w:eastAsia="仿宋_GB2312"/>
          <w:bCs/>
          <w:sz w:val="48"/>
          <w:szCs w:val="48"/>
        </w:rPr>
        <w:t>矿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kern w:val="0"/>
          <w:sz w:val="52"/>
          <w:szCs w:val="52"/>
        </w:rPr>
      </w:pPr>
      <w:r>
        <w:rPr>
          <w:rFonts w:hint="eastAsia" w:ascii="黑体" w:hAnsi="黑体" w:eastAsia="黑体"/>
          <w:b/>
          <w:kern w:val="0"/>
          <w:sz w:val="52"/>
          <w:szCs w:val="52"/>
        </w:rPr>
        <w:t>矿山地质环境保护与土地复垦方案</w:t>
      </w:r>
    </w:p>
    <w:p>
      <w:pPr>
        <w:adjustRightInd w:val="0"/>
        <w:snapToGrid w:val="0"/>
        <w:spacing w:line="480" w:lineRule="auto"/>
        <w:ind w:firstLine="1280" w:firstLineChars="4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480" w:lineRule="auto"/>
        <w:ind w:firstLine="1280" w:firstLineChars="4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480" w:lineRule="auto"/>
        <w:ind w:firstLine="1280" w:firstLineChars="4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480" w:lineRule="auto"/>
        <w:ind w:firstLine="1280" w:firstLineChars="4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480" w:lineRule="auto"/>
        <w:ind w:firstLine="1280" w:firstLineChars="4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480" w:lineRule="auto"/>
        <w:ind w:firstLine="707" w:firstLineChars="221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申报单位：</w:t>
      </w:r>
    </w:p>
    <w:p>
      <w:pPr>
        <w:adjustRightInd w:val="0"/>
        <w:snapToGrid w:val="0"/>
        <w:spacing w:line="480" w:lineRule="auto"/>
        <w:ind w:firstLine="707" w:firstLineChars="221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法人代表：</w:t>
      </w:r>
    </w:p>
    <w:p>
      <w:pPr>
        <w:adjustRightInd w:val="0"/>
        <w:snapToGrid w:val="0"/>
        <w:spacing w:line="480" w:lineRule="auto"/>
        <w:ind w:firstLine="707" w:firstLineChars="221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编制单位：</w:t>
      </w:r>
    </w:p>
    <w:p>
      <w:pPr>
        <w:adjustRightInd w:val="0"/>
        <w:snapToGrid w:val="0"/>
        <w:spacing w:line="480" w:lineRule="auto"/>
        <w:ind w:firstLine="707" w:firstLineChars="221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法人代表：</w:t>
      </w:r>
    </w:p>
    <w:p>
      <w:pPr>
        <w:adjustRightInd w:val="0"/>
        <w:snapToGrid w:val="0"/>
        <w:spacing w:line="480" w:lineRule="auto"/>
        <w:ind w:firstLine="707" w:firstLineChars="221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技术负责人：</w:t>
      </w:r>
    </w:p>
    <w:p>
      <w:pPr>
        <w:adjustRightInd w:val="0"/>
        <w:snapToGrid w:val="0"/>
        <w:spacing w:line="480" w:lineRule="auto"/>
        <w:ind w:firstLine="707" w:firstLineChars="221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项目负责人：</w:t>
      </w:r>
    </w:p>
    <w:p>
      <w:pPr>
        <w:adjustRightInd w:val="0"/>
        <w:snapToGrid w:val="0"/>
        <w:spacing w:line="480" w:lineRule="auto"/>
        <w:ind w:firstLine="707" w:firstLineChars="221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编写人员：</w:t>
      </w:r>
      <w:r>
        <w:rPr>
          <w:rFonts w:ascii="宋体" w:hAnsi="宋体"/>
          <w:sz w:val="32"/>
          <w:szCs w:val="32"/>
        </w:rPr>
        <w:t xml:space="preserve">      </w:t>
      </w:r>
    </w:p>
    <w:p>
      <w:pPr>
        <w:adjustRightInd w:val="0"/>
        <w:snapToGrid w:val="0"/>
        <w:spacing w:line="480" w:lineRule="auto"/>
        <w:ind w:firstLine="707" w:firstLineChars="221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制图人员：</w:t>
      </w:r>
    </w:p>
    <w:p>
      <w:pPr>
        <w:spacing w:line="240" w:lineRule="atLeast"/>
        <w:jc w:val="center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spacing w:line="240" w:lineRule="atLeast"/>
        <w:jc w:val="center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spacing w:line="240" w:lineRule="atLeast"/>
        <w:jc w:val="center"/>
        <w:rPr>
          <w:rFonts w:asci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第一部分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方案信息表</w:t>
      </w:r>
    </w:p>
    <w:p>
      <w:pPr>
        <w:spacing w:line="240" w:lineRule="atLeast"/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矿山地质环境保护与土地复垦方案信息表</w:t>
      </w:r>
    </w:p>
    <w:tbl>
      <w:tblPr>
        <w:tblStyle w:val="6"/>
        <w:tblW w:w="89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1180"/>
        <w:gridCol w:w="1406"/>
        <w:gridCol w:w="381"/>
        <w:gridCol w:w="182"/>
        <w:gridCol w:w="984"/>
        <w:gridCol w:w="563"/>
        <w:gridCol w:w="619"/>
        <w:gridCol w:w="648"/>
        <w:gridCol w:w="845"/>
        <w:gridCol w:w="144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7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矿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山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企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业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企业名称</w:t>
            </w:r>
          </w:p>
        </w:tc>
        <w:tc>
          <w:tcPr>
            <w:tcW w:w="7323" w:type="dxa"/>
            <w:gridSpan w:val="10"/>
            <w:vAlign w:val="center"/>
          </w:tcPr>
          <w:p>
            <w:pPr>
              <w:pStyle w:val="9"/>
              <w:jc w:val="center"/>
              <w:rPr>
                <w:bCs/>
                <w:kern w:val="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法人代表</w:t>
            </w:r>
          </w:p>
        </w:tc>
        <w:tc>
          <w:tcPr>
            <w:tcW w:w="1969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身份证号码</w:t>
            </w:r>
          </w:p>
        </w:tc>
        <w:tc>
          <w:tcPr>
            <w:tcW w:w="183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号码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统一社会信用代码</w:t>
            </w:r>
          </w:p>
        </w:tc>
        <w:tc>
          <w:tcPr>
            <w:tcW w:w="1969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纳税人识别号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组织机构代码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单位地址</w:t>
            </w:r>
          </w:p>
        </w:tc>
        <w:tc>
          <w:tcPr>
            <w:tcW w:w="7323" w:type="dxa"/>
            <w:gridSpan w:val="10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矿山名称</w:t>
            </w:r>
          </w:p>
        </w:tc>
        <w:tc>
          <w:tcPr>
            <w:tcW w:w="7323" w:type="dxa"/>
            <w:gridSpan w:val="10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exact"/>
        </w:trPr>
        <w:tc>
          <w:tcPr>
            <w:tcW w:w="475" w:type="dxa"/>
            <w:vMerge w:val="continue"/>
            <w:vAlign w:val="center"/>
          </w:tcPr>
          <w:p>
            <w:pPr>
              <w:spacing w:before="240" w:after="24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采矿许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可证</w:t>
            </w:r>
          </w:p>
        </w:tc>
        <w:tc>
          <w:tcPr>
            <w:tcW w:w="7323" w:type="dxa"/>
            <w:gridSpan w:val="10"/>
            <w:vAlign w:val="center"/>
          </w:tcPr>
          <w:p>
            <w:pPr>
              <w:spacing w:line="360" w:lineRule="auto"/>
              <w:ind w:firstLine="420" w:firstLineChars="200"/>
              <w:jc w:val="left"/>
              <w:rPr>
                <w:rFonts w:ascii="宋体"/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1824990</wp:posOffset>
                      </wp:positionH>
                      <wp:positionV relativeFrom="paragraph">
                        <wp:posOffset>142875</wp:posOffset>
                      </wp:positionV>
                      <wp:extent cx="157480" cy="121920"/>
                      <wp:effectExtent l="4445" t="4445" r="9525" b="698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43.7pt;margin-top:11.25pt;height:9.6pt;width:12.4pt;z-index:251656192;mso-width-relative:page;mso-height-relative:page;" fillcolor="#FFFFFF" filled="t" stroked="t" coordsize="21600,21600" o:gfxdata="UEsDBAoAAAAAAIdO4kAAAAAAAAAAAAAAAAAEAAAAZHJzL1BLAwQUAAAACACHTuJATuthZtcAAAAJ&#10;AQAADwAAAGRycy9kb3ducmV2LnhtbE2PTU/DMAyG70j8h8hI3Fja7FNd0x2KECck2CZx9RLTVmuS&#10;qkm38e8xJ7jZ8qPXz1vubq4XFxpjF7yGfJaBIG+C7Xyj4Xh4edqAiAm9xT540vBNEXbV/V2JhQ1X&#10;/0GXfWoEh/hYoIY2paGQMpqWHMZZGMjz7SuMDhOvYyPtiFcOd71UWbaSDjvPH1ocqG7JnPeT0/C6&#10;qnGezHs9TbJ/Q4OHJX4+a/34kGdbEIlu6Q+GX31Wh4qdTmHyNopeg9qsF4zyoJYgGJjnSoE4aVjk&#10;a5BVKf83qH4AUEsDBBQAAAAIAIdO4kCjnlk24wEAAM8DAAAOAAAAZHJzL2Uyb0RvYy54bWytU0uO&#10;EzEQ3SNxB8t70t0hwwytdGZBCBsEIw0coGK7uy35J5cnnZwGiR2H4DiIa1B2QmYGWCBEL9xlu/z8&#10;3qvy8npvDdupiNq7jjezmjPlhJfaDR3/+GHz7IozTOAkGO9Uxw8K+fXq6ZPlFFo196M3UkVGIA7b&#10;KXR8TCm0VYViVBZw5oNytNn7aCHRNA6VjDARujXVvK5fVJOPMkQvFCKtro+bfFXw+16J9L7vUSVm&#10;Ok7cUhljGbd5rFZLaIcIYdTiRAP+gYUF7ejSM9QaErC7qH+DslpEj75PM+Ft5fteC1U0kJqm/kXN&#10;7QhBFS1kDoazTfj/YMW73U1kWnZ8wZkDSyX6/unLt6+f2SJ7MwVsKeU23MTTDCnMQvd9tPlPEti+&#10;+Hk4+6n2iQlabC4uF1fkuqCtZt68nBe/q/vDIWJ6o7xlOeh4pHIVF2H3FhNdSKk/U/Jd6I2WG21M&#10;mcRh+8pEtgMq7aZ8mTEdeZRmHJs6/ry5vCAeQB3WG0gU2kCa0Q3lvkcn8CFwXb4/AWdia8DxSKAg&#10;5DRorU4quwXtqEC+dpKlQyBfHT0AnslYJTkzit5LjkpmAm3+JpPUGUcic12OlcjR1ssDVfEuRD2M&#10;5GNT+OYd6ppiyanDc1s+nBek+3e4+g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O62Fm1wAAAAkB&#10;AAAPAAAAAAAAAAEAIAAAACIAAABkcnMvZG93bnJldi54bWxQSwECFAAUAAAACACHTuJAo55ZNuMB&#10;AADPAwAADgAAAAAAAAABACAAAAAmAQAAZHJzL2Uyb0RvYy54bWxQSwUGAAAAAAYABgBZAQAAewUA&#10;AAAA&#10;">
                      <v:fill on="t" focussize="0,0"/>
                      <v:stroke weight="0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479425</wp:posOffset>
                      </wp:positionV>
                      <wp:extent cx="157480" cy="121920"/>
                      <wp:effectExtent l="4445" t="4445" r="9525" b="69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9.4pt;margin-top:37.75pt;height:9.6pt;width:12.4pt;z-index:251659264;mso-width-relative:page;mso-height-relative:page;" fillcolor="#FFFFFF" filled="t" stroked="t" coordsize="21600,21600" o:gfxdata="UEsDBAoAAAAAAIdO4kAAAAAAAAAAAAAAAAAEAAAAZHJzL1BLAwQUAAAACACHTuJATCK4X9UAAAAI&#10;AQAADwAAAGRycy9kb3ducmV2LnhtbE2PwU7DMBBE70j8g7VI3KjTlqRtiNNDEOKEBC0S1629TSLs&#10;dRQ7bfl73BMcV28087baXpwVJxpD71nBfJaBINbe9Nwq+Ny/PKxBhIhs0HomBT8UYFvf3lRYGn/m&#10;DzrtYitSCYcSFXQxDqWUQXfkMMz8QJzY0Y8OYzrHVpoRz6ncWbnIskI67DktdDhQ05H+3k1OwWvR&#10;4DLq92aapH1Djfscv56Vur+bZ08gIl3iXxiu+kkd6uR08BObIKyCzTqZRwWrPAdx5YtlAeKQwOMK&#10;ZF3J/w/Uv1BLAwQUAAAACACHTuJAP/q4MeIBAADPAwAADgAAAGRycy9lMm9Eb2MueG1srVPNbhMx&#10;EL4j8Q6W72R3A6VllU0PhHBBUKnlASa2d9eS/+Rxs8nTIHHjIXgcxGswdkLa0h4QYg/eGXv8zXzf&#10;jBeXO2vYVkXU3nW8mdWcKSe81G7o+Oeb9YsLzjCBk2C8Ux3fK+SXy+fPFlNo1dyP3kgVGYE4bKfQ&#10;8TGl0FYVilFZwJkPytFh76OFRG4cKhlhInRrqnldv64mH2WIXihE2l0dDvmy4Pe9EulT36NKzHSc&#10;aktljWXd5LVaLqAdIoRRi2MZ8A9VWNCOkp6gVpCA3Ub9CMpqET36Ps2Et5Xvey1U4UBsmvoPNtcj&#10;BFW4kDgYTjLh/4MVH7dXkWlJvePMgaUW/fzy7cf3r6zJ2kwBWwq5Dlfx6CGZmeiujzb/iQLbFT33&#10;Jz3VLjFBm83Z+asLUl3QUTNv3syL3tXd5RAxvVfesmx0PFK7ioqw/YCJElLo75CcC73Rcq2NKU4c&#10;Nm9NZFug1q7LlyumKw/CjGNTx18252dUB9CE9QYSmTYQZ3RDyffgBt4Hrsv3FHAubAU4HgooCDkM&#10;WquTympBOyqQ75xkaR9IV0cPgOdirJKcGUXvJVslMoE2fxNJ7Iwjkrkvh05ka+Plnrp4G6IeRtKx&#10;tK7E0NQUSY4Tnsfyvl+Q7t7h8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MIrhf1QAAAAgBAAAP&#10;AAAAAAAAAAEAIAAAACIAAABkcnMvZG93bnJldi54bWxQSwECFAAUAAAACACHTuJAP/q4MeIBAADP&#10;AwAADgAAAAAAAAABACAAAAAkAQAAZHJzL2Uyb0RvYy54bWxQSwUGAAAAAAYABgBZAQAAeAUAAAAA&#10;">
                      <v:fill on="t" focussize="0,0"/>
                      <v:stroke weight="0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3872865</wp:posOffset>
                      </wp:positionH>
                      <wp:positionV relativeFrom="paragraph">
                        <wp:posOffset>126365</wp:posOffset>
                      </wp:positionV>
                      <wp:extent cx="157480" cy="121920"/>
                      <wp:effectExtent l="4445" t="4445" r="9525" b="69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04.95pt;margin-top:9.95pt;height:9.6pt;width:12.4pt;z-index:251658240;mso-width-relative:page;mso-height-relative:page;" fillcolor="#FFFFFF" filled="t" stroked="t" coordsize="21600,21600" o:gfxdata="UEsDBAoAAAAAAIdO4kAAAAAAAAAAAAAAAAAEAAAAZHJzL1BLAwQUAAAACACHTuJApCMw0NYAAAAJ&#10;AQAADwAAAGRycy9kb3ducmV2LnhtbE2PwU7DMAyG70i8Q2QkbiwphUJL0x2KECck2JC4eolpK5qk&#10;atJtvD3eiZ0s6//0+3O9PrpR7GmOQ/AaspUCQd4EO/hOw+f25eYRREzoLY7Bk4ZfirBuLi9qrGw4&#10;+A/ab1InuMTHCjX0KU2VlNH05DCuwkSes+8wO0y8zp20Mx643I3yVqlCOhw8X+hxorYn87NZnIbX&#10;osU8mfd2WeT4hga39/j1rPX1VaaeQCQ6pn8YTvqsDg077cLibRSjhkKVJaMcnCYDRX73AGKnIS8z&#10;kE0tzz9o/gBQSwMEFAAAAAgAh07iQEsmGDPjAQAAzwMAAA4AAABkcnMvZTJvRG9jLnhtbK1TzW4T&#10;MRC+I/EOlu9kswulZZVND4RwQVCp5QEmtnfXkv/kcbPJ0yBx4yF4HMRrMHZC2tIeEGIP3rE9/vx9&#10;34wXlztr2FZF1N51vJ7NOVNOeKnd0PHPN+sXF5xhAifBeKc6vlfIL5fPny2m0KrGj95IFRmBOGyn&#10;0PExpdBWFYpRWcCZD8rRZu+jhUTTOFQywkTo1lTNfP66mnyUIXqhEGl1ddjky4Lf90qkT32PKjHT&#10;ceKWyhjLuMljtVxAO0QIoxZHGvAPLCxoR5eeoFaQgN1G/QjKahE9+j7NhLeV73stVNFAaur5H2qu&#10;RwiqaCFzMJxswv8HKz5uryLTsuMNZw4slejnl28/vn9lTfZmCthSynW4iscZUpiF7vpo858ksF3x&#10;c3/yU+0SE7RYn52/uiDXBW3VTf2mKX5Xd4dDxPReecty0PFI5SouwvYDJrqQUn+n5LvQGy3X2pgy&#10;icPmrYlsC1TadfkyYzryIM04NnX8ZX1+RjyAOqw3kCi0gTSjG8p9D07gfeB5+Z4CzsRWgOOBQEHI&#10;adBanVR2C9pRgXznJEv7QL46egA8k7FKcmYUvZcclcwE2vxNJqkzjkTmuhwqkaONl3uq4m2IehjJ&#10;x7rwzTvUNcWSY4fntrw/L0h373D5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KQjMNDWAAAACQEA&#10;AA8AAAAAAAAAAQAgAAAAIgAAAGRycy9kb3ducmV2LnhtbFBLAQIUABQAAAAIAIdO4kBLJhgz4wEA&#10;AM8DAAAOAAAAAAAAAAEAIAAAACUBAABkcnMvZTJvRG9jLnhtbFBLBQYAAAAABgAGAFkBAAB6BQAA&#10;AAA=&#10;">
                      <v:fill on="t" focussize="0,0"/>
                      <v:stroke weight="0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2653665</wp:posOffset>
                      </wp:positionH>
                      <wp:positionV relativeFrom="paragraph">
                        <wp:posOffset>137160</wp:posOffset>
                      </wp:positionV>
                      <wp:extent cx="157480" cy="121920"/>
                      <wp:effectExtent l="4445" t="4445" r="9525" b="69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8.95pt;margin-top:10.8pt;height:9.6pt;width:12.4pt;z-index:251658240;mso-width-relative:page;mso-height-relative:page;" fillcolor="#FFFFFF" filled="t" stroked="t" coordsize="21600,21600" o:gfxdata="UEsDBAoAAAAAAIdO4kAAAAAAAAAAAAAAAAAEAAAAZHJzL1BLAwQUAAAACACHTuJAvAomY9cAAAAJ&#10;AQAADwAAAGRycy9kb3ducmV2LnhtbE2PwU7DMAyG70i8Q2QkbixpKd0oTXcoQpyQYEPi6iWhrWic&#10;qkm38faYE9xs+dPv76+3Zz+Ko5vjEEhDtlIgHJlgB+o0vO+fbjYgYkKyOAZyGr5dhG1zeVFjZcOJ&#10;3txxlzrBIRQr1NCnNFVSRtM7j3EVJkd8+wyzx8Tr3Ek744nD/ShzpUrpcSD+0OPk2t6Zr93iNTyX&#10;Ld4m89ouixxf0OD+Dj8etb6+ytQDiOTO6Q+GX31Wh4adDmEhG8WoocjW94xqyLMSBANFka9BHHhQ&#10;G5BNLf83aH4AUEsDBBQAAAAIAIdO4kBnkocy4gEAAM8DAAAOAAAAZHJzL2Uyb0RvYy54bWytU0uO&#10;EzEQ3SNxB8t70t0Zhhla6cyCEDYIRho4QMV2d1vyTy5POjkNEjsOwXEQ16DshMyPBUL0wl22y8/v&#10;vSovrnbWsK2KqL3reDOrOVNOeKnd0PHPn9YvLjnDBE6C8U51fK+QXy2fP1tMoVVzP3ojVWQE4rCd&#10;QsfHlEJbVShGZQFnPihHm72PFhJN41DJCBOhW1PN6/pVNfkoQ/RCIdLq6rDJlwW/75VIH/seVWKm&#10;48QtlTGWcZPHarmAdogQRi2ONOAfWFjQji49Qa0gAbuN+gmU1SJ69H2aCW8r3/daqKKB1DT1IzU3&#10;IwRVtJA5GE424f+DFR+215Fp2fEzzhxYKtHPL99+fP/KzrI3U8CWUm7CdTzOkMIsdNdHm/8kge2K&#10;n/uTn2qXmKDF5vzi5SW5LmirmTev58Xv6u5wiJjeKW9ZDjoeqVzFRdi+x0QXUurvlHwXeqPlWhtT&#10;JnHYvDGRbYFKuy5fZkxHHqQZxyYS11ycEw+gDusNJAptIM3ohnLfgxN4H7gu35+AM7EV4HggUBBy&#10;GrRWJ5XdgnZUIN86ydI+kK+OHgDPZKySnBlF7yVHJTOBNn+TSeqMI5G5LodK5Gjj5Z6qeBuiHkby&#10;sSl88w51TbHk2OG5Le/PC9LdO1z+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LwKJmPXAAAACQEA&#10;AA8AAAAAAAAAAQAgAAAAIgAAAGRycy9kb3ducmV2LnhtbFBLAQIUABQAAAAIAIdO4kBnkocy4gEA&#10;AM8DAAAOAAAAAAAAAAEAIAAAACYBAABkcnMvZTJvRG9jLnhtbFBLBQYAAAAABgAGAFkBAAB6BQAA&#10;AAA=&#10;">
                      <v:fill on="t" focussize="0,0"/>
                      <v:stroke weight="0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107315</wp:posOffset>
                      </wp:positionH>
                      <wp:positionV relativeFrom="paragraph">
                        <wp:posOffset>142875</wp:posOffset>
                      </wp:positionV>
                      <wp:extent cx="157480" cy="121920"/>
                      <wp:effectExtent l="4445" t="4445" r="9525" b="698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45pt;margin-top:11.25pt;height:9.6pt;width:12.4pt;z-index:251657216;mso-width-relative:page;mso-height-relative:page;" fillcolor="#FFFFFF" filled="t" stroked="t" coordsize="21600,21600" o:gfxdata="UEsDBAoAAAAAAIdO4kAAAAAAAAAAAAAAAAAEAAAAZHJzL1BLAwQUAAAACACHTuJAEHEnF9MAAAAH&#10;AQAADwAAAGRycy9kb3ducmV2LnhtbE2OwU7DMBBE70j8g7VI3KiTQEMb4vQQhDghQYvEdWubJMJe&#10;R7HTlr9nEQd6Go1mNPPqzck7cbBTHAIpyBcZCEs6mIE6Be+7p5sViJiQDLpAVsG3jbBpLi9qrEw4&#10;0ps9bFMneIRihQr6lMZKyqh76zEuwmiJs88weUxsp06aCY887p0ssqyUHgfihx5H2/ZWf21nr+C5&#10;bPE26dd2nqV7QY27JX48KnV9lWcPIJI9pf8y/OIzOjTMtA8zmSgc+3LNTQVFsQTB+V1+D2L/p7Kp&#10;5Tl/8wNQSwMEFAAAAAgAh07iQI8qxjfjAQAAzwMAAA4AAABkcnMvZTJvRG9jLnhtbK1TzY7TMBC+&#10;I/EOlu80SaHsEjXdA6VcEKy0ywNMbSex5D95vE37NEjceAgeB/EajN3S3QUOCJGDM2OPv5nvm/Hy&#10;am8N26mI2ruON7OaM+WEl9oNHf94u3l2yRkmcBKMd6rjB4X8avX0yXIKrZr70RupIiMQh+0UOj6m&#10;FNqqQjEqCzjzQTk67H20kMiNQyUjTIRuTTWv65fV5KMM0QuFSLvr4yFfFfy+VyJ96HtUiZmOU22p&#10;rLGs27xWqyW0Q4QwanEqA/6hCgvaUdIz1BoSsLuof4OyWkSPvk8z4W3l+14LVTgQm6b+hc3NCEEV&#10;LiQOhrNM+P9gxfvddWRadnzBmQNLLfr+6cu3r5/ZImszBWwp5CZcx5OHZGai+z7a/CcKbF/0PJz1&#10;VPvEBG02i4sXl6S6oKNm3ryaF72r+8shYnqrvGXZ6HikdhUVYfcOEyWk0J8hORd6o+VGG1OcOGxf&#10;m8h2QK3dlC9XTFcehRnHpo4/by6InwCasN5AItMG4oxuKPke3cCHwHX5/gScC1sDjscCCkIOg9bq&#10;pLJa0I4K5BsnWToE0tXRA+C5GKskZ0bRe8lWiUygzd9EEjvjiGTuy7ET2dp6eaAu3oWoh5F0bEq9&#10;+YSmpkhymvA8lg/9gnT/Dlc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BBxJxfTAAAABwEAAA8A&#10;AAAAAAAAAQAgAAAAIgAAAGRycy9kb3ducmV2LnhtbFBLAQIUABQAAAAIAIdO4kCPKsY34wEAAM8D&#10;AAAOAAAAAAAAAAEAIAAAACIBAABkcnMvZTJvRG9jLnhtbFBLBQYAAAAABgAGAFkBAAB3BQAAAAA=&#10;">
                      <v:fill on="t" focussize="0,0"/>
                      <v:stroke weight="0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Style w:val="10"/>
                <w:rFonts w:hint="eastAsia"/>
                <w:bCs/>
                <w:szCs w:val="24"/>
              </w:rPr>
              <w:t>新申请</w:t>
            </w:r>
            <w:r>
              <w:rPr>
                <w:rStyle w:val="10"/>
                <w:bCs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  <w:bdr w:val="single" w:color="auto" w:sz="4" w:space="0"/>
              </w:rPr>
              <w:t>√</w:t>
            </w:r>
            <w:r>
              <w:rPr>
                <w:rStyle w:val="10"/>
                <w:bCs/>
                <w:szCs w:val="24"/>
              </w:rPr>
              <w:t xml:space="preserve">  </w:t>
            </w:r>
            <w:r>
              <w:rPr>
                <w:rStyle w:val="10"/>
                <w:rFonts w:hint="eastAsia"/>
                <w:bCs/>
                <w:szCs w:val="24"/>
              </w:rPr>
              <w:t>延续</w:t>
            </w:r>
            <w:r>
              <w:rPr>
                <w:rStyle w:val="10"/>
                <w:bCs/>
                <w:szCs w:val="24"/>
              </w:rPr>
              <w:t xml:space="preserve">      </w:t>
            </w:r>
            <w:r>
              <w:rPr>
                <w:rStyle w:val="10"/>
                <w:rFonts w:hint="eastAsia"/>
                <w:bCs/>
                <w:szCs w:val="24"/>
              </w:rPr>
              <w:t>变</w:t>
            </w:r>
            <w:bookmarkStart w:id="3" w:name="_GoBack"/>
            <w:bookmarkEnd w:id="3"/>
            <w:r>
              <w:rPr>
                <w:rStyle w:val="10"/>
                <w:rFonts w:hint="eastAsia"/>
                <w:bCs/>
                <w:szCs w:val="24"/>
              </w:rPr>
              <w:t>更（</w:t>
            </w:r>
            <w:r>
              <w:rPr>
                <w:rStyle w:val="10"/>
                <w:bCs/>
                <w:szCs w:val="24"/>
              </w:rPr>
              <w:t xml:space="preserve">   </w:t>
            </w:r>
            <w:r>
              <w:rPr>
                <w:rStyle w:val="10"/>
                <w:rFonts w:hint="eastAsia"/>
                <w:bCs/>
                <w:szCs w:val="24"/>
              </w:rPr>
              <w:t>扩大开采规模</w:t>
            </w:r>
            <w:r>
              <w:rPr>
                <w:rStyle w:val="10"/>
                <w:bCs/>
                <w:szCs w:val="24"/>
              </w:rPr>
              <w:t xml:space="preserve">    </w:t>
            </w:r>
            <w:r>
              <w:rPr>
                <w:rStyle w:val="10"/>
                <w:rFonts w:hint="eastAsia"/>
                <w:bCs/>
                <w:szCs w:val="24"/>
              </w:rPr>
              <w:t>扩大矿区范围</w:t>
            </w:r>
            <w:r>
              <w:rPr>
                <w:rStyle w:val="10"/>
                <w:bCs/>
                <w:szCs w:val="24"/>
              </w:rPr>
              <w:t xml:space="preserve">     </w:t>
            </w:r>
            <w:r>
              <w:rPr>
                <w:rStyle w:val="10"/>
                <w:rFonts w:hint="eastAsia"/>
                <w:bCs/>
                <w:szCs w:val="24"/>
              </w:rPr>
              <w:t>变更开采方式）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475" w:type="dxa"/>
            <w:vMerge w:val="continue"/>
            <w:vAlign w:val="center"/>
          </w:tcPr>
          <w:p>
            <w:pPr>
              <w:spacing w:before="240" w:after="24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323" w:type="dxa"/>
            <w:gridSpan w:val="10"/>
            <w:vAlign w:val="center"/>
          </w:tcPr>
          <w:p>
            <w:pPr>
              <w:pStyle w:val="9"/>
              <w:jc w:val="center"/>
              <w:rPr>
                <w:bCs/>
                <w:kern w:val="2"/>
                <w:szCs w:val="24"/>
              </w:rPr>
            </w:pPr>
            <w:r>
              <w:rPr>
                <w:rFonts w:hint="eastAsia"/>
                <w:bCs/>
                <w:kern w:val="2"/>
                <w:szCs w:val="24"/>
              </w:rPr>
              <w:t>以上情况请选择一种并打“√”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75" w:type="dxa"/>
            <w:vMerge w:val="continue"/>
            <w:vAlign w:val="center"/>
          </w:tcPr>
          <w:p>
            <w:pPr>
              <w:spacing w:before="240" w:after="24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58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开采矿种</w:t>
            </w:r>
          </w:p>
        </w:tc>
        <w:tc>
          <w:tcPr>
            <w:tcW w:w="2110" w:type="dxa"/>
            <w:gridSpan w:val="4"/>
            <w:vAlign w:val="center"/>
          </w:tcPr>
          <w:p>
            <w:pPr>
              <w:pStyle w:val="9"/>
              <w:ind w:firstLine="0" w:firstLineChars="0"/>
              <w:jc w:val="center"/>
              <w:rPr>
                <w:bCs/>
                <w:kern w:val="2"/>
                <w:szCs w:val="24"/>
              </w:rPr>
            </w:pPr>
            <w:r>
              <w:rPr>
                <w:rFonts w:hint="eastAsia"/>
                <w:bCs/>
                <w:kern w:val="2"/>
                <w:szCs w:val="24"/>
              </w:rPr>
              <w:t>资源储量规模</w:t>
            </w:r>
          </w:p>
        </w:tc>
        <w:tc>
          <w:tcPr>
            <w:tcW w:w="2112" w:type="dxa"/>
            <w:gridSpan w:val="3"/>
            <w:vAlign w:val="center"/>
          </w:tcPr>
          <w:p>
            <w:pPr>
              <w:pStyle w:val="9"/>
              <w:ind w:firstLine="0" w:firstLineChars="0"/>
              <w:jc w:val="center"/>
              <w:rPr>
                <w:bCs/>
                <w:spacing w:val="-20"/>
                <w:kern w:val="2"/>
                <w:szCs w:val="24"/>
              </w:rPr>
            </w:pPr>
            <w:r>
              <w:rPr>
                <w:rFonts w:hint="eastAsia"/>
                <w:bCs/>
                <w:spacing w:val="-20"/>
                <w:kern w:val="2"/>
                <w:szCs w:val="24"/>
              </w:rPr>
              <w:t>矿山生产建设规模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pStyle w:val="9"/>
              <w:ind w:firstLine="0" w:firstLineChars="0"/>
              <w:jc w:val="center"/>
              <w:rPr>
                <w:bCs/>
                <w:kern w:val="2"/>
                <w:szCs w:val="24"/>
              </w:rPr>
            </w:pPr>
            <w:r>
              <w:rPr>
                <w:rFonts w:hint="eastAsia"/>
                <w:bCs/>
                <w:kern w:val="2"/>
                <w:szCs w:val="24"/>
              </w:rPr>
              <w:t>开采方式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</w:trPr>
        <w:tc>
          <w:tcPr>
            <w:tcW w:w="475" w:type="dxa"/>
            <w:vMerge w:val="continue"/>
            <w:vAlign w:val="center"/>
          </w:tcPr>
          <w:p>
            <w:pPr>
              <w:spacing w:before="240" w:after="24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58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10" w:type="dxa"/>
            <w:gridSpan w:val="4"/>
            <w:vAlign w:val="center"/>
          </w:tcPr>
          <w:p>
            <w:pPr>
              <w:pStyle w:val="9"/>
              <w:ind w:firstLine="0" w:firstLineChars="0"/>
              <w:jc w:val="center"/>
              <w:rPr>
                <w:bCs/>
                <w:kern w:val="2"/>
                <w:szCs w:val="24"/>
              </w:rPr>
            </w:pPr>
          </w:p>
        </w:tc>
        <w:tc>
          <w:tcPr>
            <w:tcW w:w="2112" w:type="dxa"/>
            <w:gridSpan w:val="3"/>
            <w:vAlign w:val="center"/>
          </w:tcPr>
          <w:p>
            <w:pPr>
              <w:pStyle w:val="9"/>
              <w:ind w:firstLine="0" w:firstLineChars="0"/>
              <w:jc w:val="center"/>
              <w:rPr>
                <w:bCs/>
                <w:kern w:val="2"/>
                <w:szCs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pStyle w:val="9"/>
              <w:ind w:firstLine="0" w:firstLineChars="0"/>
              <w:jc w:val="center"/>
              <w:rPr>
                <w:bCs/>
                <w:kern w:val="2"/>
                <w:szCs w:val="24"/>
              </w:rPr>
            </w:pPr>
            <w:r>
              <w:rPr>
                <w:rFonts w:hint="eastAsia"/>
                <w:bCs/>
                <w:spacing w:val="-20"/>
                <w:kern w:val="2"/>
                <w:szCs w:val="24"/>
              </w:rPr>
              <w:t>露天</w:t>
            </w:r>
            <w:r>
              <w:rPr>
                <w:bCs/>
                <w:spacing w:val="-20"/>
                <w:kern w:val="2"/>
                <w:szCs w:val="24"/>
              </w:rPr>
              <w:t>/</w:t>
            </w:r>
            <w:r>
              <w:rPr>
                <w:rFonts w:hint="eastAsia"/>
                <w:bCs/>
                <w:spacing w:val="-20"/>
                <w:kern w:val="2"/>
                <w:szCs w:val="24"/>
              </w:rPr>
              <w:t>地下开</w:t>
            </w:r>
            <w:r>
              <w:rPr>
                <w:rFonts w:hint="eastAsia"/>
                <w:bCs/>
                <w:kern w:val="2"/>
                <w:szCs w:val="24"/>
              </w:rPr>
              <w:t>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475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编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制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位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单位名称</w:t>
            </w:r>
          </w:p>
        </w:tc>
        <w:tc>
          <w:tcPr>
            <w:tcW w:w="7323" w:type="dxa"/>
            <w:gridSpan w:val="1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法人代表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要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编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制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员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职责</w:t>
            </w: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</w:t>
            </w: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bookmarkStart w:id="0" w:name="OLE_LINK1"/>
            <w:r>
              <w:rPr>
                <w:rFonts w:hint="eastAsia" w:ascii="宋体" w:hAnsi="宋体"/>
                <w:sz w:val="24"/>
                <w:szCs w:val="24"/>
              </w:rPr>
              <w:t>报告编写</w:t>
            </w:r>
            <w:bookmarkEnd w:id="0"/>
            <w:r>
              <w:rPr>
                <w:rFonts w:hint="eastAsia" w:ascii="宋体" w:hAnsi="宋体"/>
                <w:sz w:val="24"/>
                <w:szCs w:val="24"/>
              </w:rPr>
              <w:t>及制图</w:t>
            </w: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报告编写及制图</w:t>
            </w: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报告编写及制图</w:t>
            </w: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</w:trPr>
        <w:tc>
          <w:tcPr>
            <w:tcW w:w="4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48" w:type="dxa"/>
            <w:gridSpan w:val="4"/>
            <w:vAlign w:val="center"/>
          </w:tcPr>
          <w:p>
            <w:pPr>
              <w:jc w:val="center"/>
              <w:rPr>
                <w:rFonts w:ascii="宋体" w:cs="华文仿宋"/>
                <w:sz w:val="24"/>
                <w:szCs w:val="24"/>
              </w:rPr>
            </w:pPr>
            <w:r>
              <w:rPr>
                <w:rFonts w:hint="eastAsia" w:ascii="宋体" w:hAnsi="宋体" w:cs="华文仿宋"/>
                <w:sz w:val="24"/>
                <w:szCs w:val="24"/>
              </w:rPr>
              <w:t>报告编写及制图</w:t>
            </w:r>
          </w:p>
        </w:tc>
        <w:tc>
          <w:tcPr>
            <w:tcW w:w="3188" w:type="dxa"/>
            <w:gridSpan w:val="4"/>
            <w:vAlign w:val="center"/>
          </w:tcPr>
          <w:p>
            <w:pPr>
              <w:jc w:val="center"/>
              <w:rPr>
                <w:rFonts w:ascii="宋体" w:cs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 w:hRule="exact"/>
        </w:trPr>
        <w:tc>
          <w:tcPr>
            <w:tcW w:w="475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查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</w:t>
            </w:r>
          </w:p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请</w:t>
            </w:r>
          </w:p>
        </w:tc>
        <w:tc>
          <w:tcPr>
            <w:tcW w:w="8503" w:type="dxa"/>
            <w:gridSpan w:val="11"/>
            <w:vAlign w:val="center"/>
          </w:tcPr>
          <w:p>
            <w:pPr>
              <w:spacing w:line="276" w:lineRule="auto"/>
              <w:ind w:firstLine="48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我单位已按要求编制单位编制矿山地质环境保护与土地复垦方案，保证方案中所引数据的真实性，同意按国家相关保密规定对文本进行处理按程序公示，承诺按批准后的方案做好矿山地质环境保护与土地复垦工作。</w:t>
            </w:r>
          </w:p>
          <w:p>
            <w:pPr>
              <w:spacing w:line="276" w:lineRule="auto"/>
              <w:ind w:firstLine="48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请予以审查。</w:t>
            </w:r>
          </w:p>
          <w:p>
            <w:pPr>
              <w:ind w:right="120"/>
              <w:jc w:val="right"/>
              <w:rPr>
                <w:rFonts w:ascii="宋体" w:cs="宋体"/>
                <w:sz w:val="24"/>
              </w:rPr>
            </w:pPr>
          </w:p>
          <w:p>
            <w:pPr>
              <w:ind w:right="120"/>
              <w:jc w:val="right"/>
              <w:rPr>
                <w:rFonts w:ascii="宋体" w:cs="宋体"/>
                <w:sz w:val="24"/>
              </w:rPr>
            </w:pPr>
          </w:p>
          <w:p>
            <w:pPr>
              <w:ind w:right="120"/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申请单位（矿山企业）盖章</w:t>
            </w:r>
          </w:p>
          <w:p>
            <w:pPr>
              <w:ind w:firstLine="480"/>
              <w:jc w:val="right"/>
              <w:rPr>
                <w:rFonts w:ascii="宋体"/>
                <w:sz w:val="24"/>
              </w:rPr>
            </w:pPr>
          </w:p>
          <w:p>
            <w:pPr>
              <w:ind w:right="480" w:firstLine="480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联系人：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</w:tr>
    </w:tbl>
    <w:p>
      <w:pPr>
        <w:jc w:val="both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目  录</w:t>
      </w:r>
    </w:p>
    <w:p>
      <w:pPr>
        <w:pStyle w:val="4"/>
        <w:tabs>
          <w:tab w:val="right" w:leader="dot" w:pos="8691"/>
          <w:tab w:val="clear" w:pos="8681"/>
        </w:tabs>
        <w:spacing w:before="0" w:after="0" w:line="360" w:lineRule="auto"/>
        <w:rPr>
          <w:caps w:val="0"/>
          <w:sz w:val="24"/>
        </w:rPr>
      </w:pPr>
      <w:r>
        <w:rPr>
          <w:rFonts w:ascii="宋体" w:hAnsi="宋体"/>
          <w:sz w:val="24"/>
          <w:szCs w:val="24"/>
        </w:rPr>
        <w:fldChar w:fldCharType="begin"/>
      </w:r>
      <w:r>
        <w:rPr>
          <w:rFonts w:ascii="宋体" w:hAnsi="宋体"/>
          <w:sz w:val="24"/>
          <w:szCs w:val="24"/>
        </w:rPr>
        <w:instrText xml:space="preserve"> TOC \o "1-2" \h \z \u </w:instrText>
      </w:r>
      <w:r>
        <w:rPr>
          <w:rFonts w:ascii="宋体" w:hAnsi="宋体"/>
          <w:sz w:val="24"/>
          <w:szCs w:val="24"/>
        </w:rPr>
        <w:fldChar w:fldCharType="separate"/>
      </w:r>
      <w:r>
        <w:rPr>
          <w:rFonts w:ascii="宋体" w:hAnsi="宋体"/>
          <w:caps w:val="0"/>
          <w:sz w:val="24"/>
          <w:szCs w:val="24"/>
        </w:rPr>
        <w:fldChar w:fldCharType="begin"/>
      </w:r>
      <w:r>
        <w:rPr>
          <w:rFonts w:ascii="宋体" w:hAnsi="宋体"/>
          <w:caps w:val="0"/>
          <w:sz w:val="24"/>
          <w:szCs w:val="24"/>
        </w:rPr>
        <w:instrText xml:space="preserve"> HYPERLINK \l _Toc25323 </w:instrText>
      </w:r>
      <w:r>
        <w:rPr>
          <w:rFonts w:ascii="宋体" w:hAnsi="宋体"/>
          <w:caps w:val="0"/>
          <w:sz w:val="24"/>
          <w:szCs w:val="24"/>
        </w:rPr>
        <w:fldChar w:fldCharType="separate"/>
      </w:r>
      <w:r>
        <w:rPr>
          <w:rFonts w:hint="eastAsia" w:ascii="宋体" w:hAnsi="宋体"/>
          <w:caps w:val="0"/>
          <w:sz w:val="24"/>
          <w:szCs w:val="36"/>
        </w:rPr>
        <w:t>前  言</w:t>
      </w:r>
      <w:r>
        <w:rPr>
          <w:caps w:val="0"/>
          <w:sz w:val="24"/>
        </w:rPr>
        <w:tab/>
      </w: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PAGEREF _Toc25323 </w:instrText>
      </w:r>
      <w:r>
        <w:rPr>
          <w:caps w:val="0"/>
          <w:sz w:val="24"/>
        </w:rPr>
        <w:fldChar w:fldCharType="separate"/>
      </w:r>
      <w:r>
        <w:rPr>
          <w:caps w:val="0"/>
          <w:sz w:val="24"/>
        </w:rPr>
        <w:t>1</w:t>
      </w:r>
      <w:r>
        <w:rPr>
          <w:caps w:val="0"/>
          <w:sz w:val="24"/>
        </w:rPr>
        <w:fldChar w:fldCharType="end"/>
      </w:r>
      <w:r>
        <w:rPr>
          <w:rFonts w:ascii="宋体" w:hAnsi="宋体"/>
          <w:caps w:val="0"/>
          <w:sz w:val="24"/>
          <w:szCs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_Toc7896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一、任务的由来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_Toc7896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_Toc30005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二、</w:t>
      </w:r>
      <w:r>
        <w:rPr>
          <w:smallCaps w:val="0"/>
          <w:sz w:val="24"/>
        </w:rPr>
        <w:t>编制目的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_Toc30005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_Toc6116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三、方案编制依据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_Toc6116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_Toc12789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四、方案适用年限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_Toc12789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5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_Toc17175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五、编制工作概况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_Toc17175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6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4"/>
        <w:tabs>
          <w:tab w:val="right" w:leader="dot" w:pos="8691"/>
          <w:tab w:val="clear" w:pos="8681"/>
        </w:tabs>
        <w:spacing w:before="0" w:after="0" w:line="360" w:lineRule="auto"/>
        <w:rPr>
          <w:caps w:val="0"/>
          <w:sz w:val="24"/>
        </w:rPr>
      </w:pP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HYPERLINK \l _Toc156 </w:instrText>
      </w:r>
      <w:r>
        <w:rPr>
          <w:caps w:val="0"/>
          <w:sz w:val="24"/>
        </w:rPr>
        <w:fldChar w:fldCharType="separate"/>
      </w:r>
      <w:r>
        <w:rPr>
          <w:rFonts w:hint="eastAsia" w:ascii="宋体" w:hAnsi="宋体"/>
          <w:caps w:val="0"/>
          <w:sz w:val="24"/>
          <w:szCs w:val="36"/>
        </w:rPr>
        <w:t>第一章  矿山基本情况</w:t>
      </w:r>
      <w:r>
        <w:rPr>
          <w:caps w:val="0"/>
          <w:sz w:val="24"/>
        </w:rPr>
        <w:tab/>
      </w: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PAGEREF _Toc156 </w:instrText>
      </w:r>
      <w:r>
        <w:rPr>
          <w:caps w:val="0"/>
          <w:sz w:val="24"/>
        </w:rPr>
        <w:fldChar w:fldCharType="separate"/>
      </w:r>
      <w:r>
        <w:rPr>
          <w:caps w:val="0"/>
          <w:sz w:val="24"/>
        </w:rPr>
        <w:t>9</w:t>
      </w:r>
      <w:r>
        <w:rPr>
          <w:caps w:val="0"/>
          <w:sz w:val="24"/>
        </w:rPr>
        <w:fldChar w:fldCharType="end"/>
      </w:r>
      <w:r>
        <w:rPr>
          <w: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_Toc2174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一、矿山简介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_Toc2174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9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_Toc13819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二、矿区范围及拐点坐标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_Toc13819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10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_Toc2762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三、矿山开发利用方案概述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_Toc2762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11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_Toc11898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四、矿山开采历史及现状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_Toc11898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26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4"/>
        <w:tabs>
          <w:tab w:val="right" w:leader="dot" w:pos="8691"/>
          <w:tab w:val="clear" w:pos="8681"/>
        </w:tabs>
        <w:spacing w:before="0" w:after="0" w:line="360" w:lineRule="auto"/>
        <w:rPr>
          <w:caps w:val="0"/>
          <w:sz w:val="24"/>
        </w:rPr>
      </w:pP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HYPERLINK \l _Toc28477 </w:instrText>
      </w:r>
      <w:r>
        <w:rPr>
          <w:caps w:val="0"/>
          <w:sz w:val="24"/>
        </w:rPr>
        <w:fldChar w:fldCharType="separate"/>
      </w:r>
      <w:r>
        <w:rPr>
          <w:rFonts w:hint="eastAsia" w:ascii="宋体" w:hAnsi="宋体"/>
          <w:caps w:val="0"/>
          <w:sz w:val="24"/>
          <w:szCs w:val="36"/>
        </w:rPr>
        <w:t>第二章  矿区基础信息</w:t>
      </w:r>
      <w:r>
        <w:rPr>
          <w:caps w:val="0"/>
          <w:sz w:val="24"/>
        </w:rPr>
        <w:tab/>
      </w: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PAGEREF _Toc28477 </w:instrText>
      </w:r>
      <w:r>
        <w:rPr>
          <w:caps w:val="0"/>
          <w:sz w:val="24"/>
        </w:rPr>
        <w:fldChar w:fldCharType="separate"/>
      </w:r>
      <w:r>
        <w:rPr>
          <w:caps w:val="0"/>
          <w:sz w:val="24"/>
        </w:rPr>
        <w:t>31</w:t>
      </w:r>
      <w:r>
        <w:rPr>
          <w:caps w:val="0"/>
          <w:sz w:val="24"/>
        </w:rPr>
        <w:fldChar w:fldCharType="end"/>
      </w:r>
      <w:r>
        <w:rPr>
          <w: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_Toc13034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一、矿区自然地理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_Toc13034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31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_Toc31156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二、矿区地质环境背景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_Toc31156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34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_Toc17621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四、矿区土地利用现状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_Toc17621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54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_Toc17958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五、矿山及周边其他人类重大工程活动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_Toc17958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56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_Toc5765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六、矿山及周边矿山地质环境治理与土地复垦案例分析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_Toc5765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57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4"/>
        <w:tabs>
          <w:tab w:val="right" w:leader="dot" w:pos="8691"/>
          <w:tab w:val="clear" w:pos="8681"/>
        </w:tabs>
        <w:spacing w:before="0" w:after="0" w:line="360" w:lineRule="auto"/>
        <w:rPr>
          <w:caps w:val="0"/>
          <w:sz w:val="24"/>
        </w:rPr>
      </w:pP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HYPERLINK \l _Toc29471 </w:instrText>
      </w:r>
      <w:r>
        <w:rPr>
          <w:caps w:val="0"/>
          <w:sz w:val="24"/>
        </w:rPr>
        <w:fldChar w:fldCharType="separate"/>
      </w:r>
      <w:r>
        <w:rPr>
          <w:rFonts w:hint="eastAsia" w:ascii="宋体" w:hAnsi="宋体"/>
          <w:caps w:val="0"/>
          <w:sz w:val="24"/>
          <w:szCs w:val="36"/>
        </w:rPr>
        <w:t>第三章  矿山地质环境影响和土地损毁评估</w:t>
      </w:r>
      <w:r>
        <w:rPr>
          <w:caps w:val="0"/>
          <w:sz w:val="24"/>
        </w:rPr>
        <w:tab/>
      </w: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PAGEREF _Toc29471 </w:instrText>
      </w:r>
      <w:r>
        <w:rPr>
          <w:caps w:val="0"/>
          <w:sz w:val="24"/>
        </w:rPr>
        <w:fldChar w:fldCharType="separate"/>
      </w:r>
      <w:r>
        <w:rPr>
          <w:caps w:val="0"/>
          <w:sz w:val="24"/>
        </w:rPr>
        <w:t>59</w:t>
      </w:r>
      <w:r>
        <w:rPr>
          <w:caps w:val="0"/>
          <w:sz w:val="24"/>
        </w:rPr>
        <w:fldChar w:fldCharType="end"/>
      </w:r>
      <w:r>
        <w:rPr>
          <w: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_Toc21532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一、矿山地质环境与土地资源调查概述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_Toc21532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59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_Toc27894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二、矿山地质环境影响评估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_Toc27894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59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_Toc20070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三、矿山土地损毁预测与评估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_Toc20070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96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_Toc18384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四、矿山地质环境治理分区与土地复垦范围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_Toc18384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101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4"/>
        <w:tabs>
          <w:tab w:val="right" w:leader="dot" w:pos="8691"/>
          <w:tab w:val="clear" w:pos="8681"/>
        </w:tabs>
        <w:spacing w:before="0" w:after="0" w:line="360" w:lineRule="auto"/>
        <w:rPr>
          <w:caps w:val="0"/>
          <w:sz w:val="24"/>
        </w:rPr>
      </w:pP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HYPERLINK \l _Toc23891 </w:instrText>
      </w:r>
      <w:r>
        <w:rPr>
          <w:caps w:val="0"/>
          <w:sz w:val="24"/>
        </w:rPr>
        <w:fldChar w:fldCharType="separate"/>
      </w:r>
      <w:r>
        <w:rPr>
          <w:rFonts w:ascii="宋体" w:hAnsi="宋体"/>
          <w:caps w:val="0"/>
          <w:sz w:val="24"/>
          <w:szCs w:val="36"/>
        </w:rPr>
        <w:t>第</w:t>
      </w:r>
      <w:r>
        <w:rPr>
          <w:rFonts w:hint="eastAsia" w:ascii="宋体" w:hAnsi="宋体"/>
          <w:caps w:val="0"/>
          <w:sz w:val="24"/>
          <w:szCs w:val="36"/>
        </w:rPr>
        <w:t>四</w:t>
      </w:r>
      <w:r>
        <w:rPr>
          <w:rFonts w:ascii="宋体" w:hAnsi="宋体"/>
          <w:caps w:val="0"/>
          <w:sz w:val="24"/>
          <w:szCs w:val="36"/>
        </w:rPr>
        <w:t>章</w:t>
      </w:r>
      <w:r>
        <w:rPr>
          <w:rFonts w:hint="eastAsia" w:ascii="宋体" w:hAnsi="宋体"/>
          <w:caps w:val="0"/>
          <w:sz w:val="24"/>
          <w:szCs w:val="36"/>
        </w:rPr>
        <w:t xml:space="preserve">  </w:t>
      </w:r>
      <w:r>
        <w:rPr>
          <w:rFonts w:ascii="宋体" w:hAnsi="宋体"/>
          <w:caps w:val="0"/>
          <w:sz w:val="24"/>
          <w:szCs w:val="36"/>
        </w:rPr>
        <w:t>矿山地质环境</w:t>
      </w:r>
      <w:r>
        <w:rPr>
          <w:rFonts w:hint="eastAsia" w:ascii="宋体" w:hAnsi="宋体"/>
          <w:caps w:val="0"/>
          <w:sz w:val="24"/>
          <w:szCs w:val="36"/>
        </w:rPr>
        <w:t>治理</w:t>
      </w:r>
      <w:r>
        <w:rPr>
          <w:rFonts w:ascii="宋体" w:hAnsi="宋体"/>
          <w:caps w:val="0"/>
          <w:sz w:val="24"/>
          <w:szCs w:val="36"/>
        </w:rPr>
        <w:t>与</w:t>
      </w:r>
      <w:r>
        <w:rPr>
          <w:rFonts w:hint="eastAsia" w:ascii="宋体" w:hAnsi="宋体"/>
          <w:caps w:val="0"/>
          <w:sz w:val="24"/>
          <w:szCs w:val="36"/>
        </w:rPr>
        <w:t>土地复垦可行性分析</w:t>
      </w:r>
      <w:r>
        <w:rPr>
          <w:caps w:val="0"/>
          <w:sz w:val="24"/>
        </w:rPr>
        <w:tab/>
      </w: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PAGEREF _Toc23891 </w:instrText>
      </w:r>
      <w:r>
        <w:rPr>
          <w:caps w:val="0"/>
          <w:sz w:val="24"/>
        </w:rPr>
        <w:fldChar w:fldCharType="separate"/>
      </w:r>
      <w:r>
        <w:rPr>
          <w:caps w:val="0"/>
          <w:sz w:val="24"/>
        </w:rPr>
        <w:t>109</w:t>
      </w:r>
      <w:r>
        <w:rPr>
          <w:caps w:val="0"/>
          <w:sz w:val="24"/>
        </w:rPr>
        <w:fldChar w:fldCharType="end"/>
      </w:r>
      <w:r>
        <w:rPr>
          <w: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_Toc18101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一、矿山地质环境治理可行性分析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_Toc18101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109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_Toc16191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二、矿区土地复垦可行性分析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_Toc16191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110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4"/>
        <w:tabs>
          <w:tab w:val="right" w:leader="dot" w:pos="8691"/>
          <w:tab w:val="clear" w:pos="8681"/>
        </w:tabs>
        <w:spacing w:before="0" w:after="0" w:line="360" w:lineRule="auto"/>
        <w:rPr>
          <w:caps w:val="0"/>
          <w:sz w:val="24"/>
        </w:rPr>
      </w:pP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HYPERLINK \l _Toc24634 </w:instrText>
      </w:r>
      <w:r>
        <w:rPr>
          <w:caps w:val="0"/>
          <w:sz w:val="24"/>
        </w:rPr>
        <w:fldChar w:fldCharType="separate"/>
      </w:r>
      <w:r>
        <w:rPr>
          <w:rFonts w:ascii="宋体" w:hAnsi="宋体"/>
          <w:caps w:val="0"/>
          <w:sz w:val="24"/>
          <w:szCs w:val="36"/>
        </w:rPr>
        <w:t>第</w:t>
      </w:r>
      <w:r>
        <w:rPr>
          <w:rFonts w:hint="eastAsia" w:ascii="宋体" w:hAnsi="宋体"/>
          <w:caps w:val="0"/>
          <w:sz w:val="24"/>
          <w:szCs w:val="36"/>
        </w:rPr>
        <w:t>五</w:t>
      </w:r>
      <w:r>
        <w:rPr>
          <w:rFonts w:ascii="宋体" w:hAnsi="宋体"/>
          <w:caps w:val="0"/>
          <w:sz w:val="24"/>
          <w:szCs w:val="36"/>
        </w:rPr>
        <w:t>章</w:t>
      </w:r>
      <w:r>
        <w:rPr>
          <w:rFonts w:hint="eastAsia" w:ascii="宋体" w:hAnsi="宋体"/>
          <w:caps w:val="0"/>
          <w:sz w:val="24"/>
          <w:szCs w:val="36"/>
        </w:rPr>
        <w:t xml:space="preserve">  </w:t>
      </w:r>
      <w:r>
        <w:rPr>
          <w:rFonts w:ascii="宋体" w:hAnsi="宋体"/>
          <w:caps w:val="0"/>
          <w:sz w:val="24"/>
          <w:szCs w:val="36"/>
        </w:rPr>
        <w:t>矿山地质环境</w:t>
      </w:r>
      <w:r>
        <w:rPr>
          <w:rFonts w:hint="eastAsia" w:ascii="宋体" w:hAnsi="宋体"/>
          <w:caps w:val="0"/>
          <w:sz w:val="24"/>
          <w:szCs w:val="36"/>
        </w:rPr>
        <w:t>治理</w:t>
      </w:r>
      <w:r>
        <w:rPr>
          <w:rFonts w:ascii="宋体" w:hAnsi="宋体"/>
          <w:caps w:val="0"/>
          <w:sz w:val="24"/>
          <w:szCs w:val="36"/>
        </w:rPr>
        <w:t>与</w:t>
      </w:r>
      <w:r>
        <w:rPr>
          <w:rFonts w:hint="eastAsia" w:ascii="宋体" w:hAnsi="宋体"/>
          <w:caps w:val="0"/>
          <w:sz w:val="24"/>
          <w:szCs w:val="36"/>
        </w:rPr>
        <w:t>土地复垦工程</w:t>
      </w:r>
      <w:r>
        <w:rPr>
          <w:caps w:val="0"/>
          <w:sz w:val="24"/>
        </w:rPr>
        <w:tab/>
      </w: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PAGEREF _Toc24634 </w:instrText>
      </w:r>
      <w:r>
        <w:rPr>
          <w:caps w:val="0"/>
          <w:sz w:val="24"/>
        </w:rPr>
        <w:fldChar w:fldCharType="separate"/>
      </w:r>
      <w:r>
        <w:rPr>
          <w:caps w:val="0"/>
          <w:sz w:val="24"/>
        </w:rPr>
        <w:t>121</w:t>
      </w:r>
      <w:r>
        <w:rPr>
          <w:caps w:val="0"/>
          <w:sz w:val="24"/>
        </w:rPr>
        <w:fldChar w:fldCharType="end"/>
      </w:r>
      <w:r>
        <w:rPr>
          <w: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_Toc9071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一、矿山地质环境保护与土地复垦预防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_Toc9071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121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_Toc21902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二、矿山地质灾害治理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_Toc21902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121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_Toc16742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三、矿区土地复垦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_Toc16742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127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_Toc22258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四、含水层破坏修复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_Toc22258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130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_Toc11268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五</w:t>
      </w:r>
      <w:bookmarkStart w:id="1" w:name="_Hlt51090921"/>
      <w:bookmarkStart w:id="2" w:name="_Hlt51090922"/>
      <w:r>
        <w:rPr>
          <w:rFonts w:hint="eastAsia"/>
          <w:smallCaps w:val="0"/>
          <w:sz w:val="24"/>
        </w:rPr>
        <w:t>、</w:t>
      </w:r>
      <w:bookmarkEnd w:id="1"/>
      <w:bookmarkEnd w:id="2"/>
      <w:r>
        <w:rPr>
          <w:rFonts w:hint="eastAsia"/>
          <w:smallCaps w:val="0"/>
          <w:sz w:val="24"/>
        </w:rPr>
        <w:t>水土环境污染修复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_Toc11268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131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_Toc18654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六、矿山地质环境监测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_Toc18654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132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_Toc18065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七、矿区土地复垦监测和管护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_Toc18065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135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4"/>
        <w:tabs>
          <w:tab w:val="right" w:leader="dot" w:pos="8691"/>
          <w:tab w:val="clear" w:pos="8681"/>
        </w:tabs>
        <w:spacing w:before="0" w:after="0" w:line="360" w:lineRule="auto"/>
        <w:rPr>
          <w:caps w:val="0"/>
          <w:sz w:val="24"/>
        </w:rPr>
      </w:pP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HYPERLINK \l _Toc5987 </w:instrText>
      </w:r>
      <w:r>
        <w:rPr>
          <w:caps w:val="0"/>
          <w:sz w:val="24"/>
        </w:rPr>
        <w:fldChar w:fldCharType="separate"/>
      </w:r>
      <w:r>
        <w:rPr>
          <w:rFonts w:ascii="宋体" w:hAnsi="宋体"/>
          <w:caps w:val="0"/>
          <w:sz w:val="24"/>
          <w:szCs w:val="36"/>
        </w:rPr>
        <w:t>第</w:t>
      </w:r>
      <w:r>
        <w:rPr>
          <w:rFonts w:hint="eastAsia" w:ascii="宋体" w:hAnsi="宋体"/>
          <w:caps w:val="0"/>
          <w:sz w:val="24"/>
          <w:szCs w:val="36"/>
        </w:rPr>
        <w:t>六</w:t>
      </w:r>
      <w:r>
        <w:rPr>
          <w:rFonts w:ascii="宋体" w:hAnsi="宋体"/>
          <w:caps w:val="0"/>
          <w:sz w:val="24"/>
          <w:szCs w:val="36"/>
        </w:rPr>
        <w:t>章</w:t>
      </w:r>
      <w:r>
        <w:rPr>
          <w:rFonts w:hint="eastAsia" w:ascii="宋体" w:hAnsi="宋体"/>
          <w:caps w:val="0"/>
          <w:sz w:val="24"/>
          <w:szCs w:val="36"/>
        </w:rPr>
        <w:t xml:space="preserve">  </w:t>
      </w:r>
      <w:r>
        <w:rPr>
          <w:rFonts w:ascii="宋体" w:hAnsi="宋体"/>
          <w:caps w:val="0"/>
          <w:sz w:val="24"/>
          <w:szCs w:val="36"/>
        </w:rPr>
        <w:t>矿山地质环境</w:t>
      </w:r>
      <w:r>
        <w:rPr>
          <w:rFonts w:hint="eastAsia" w:ascii="宋体" w:hAnsi="宋体"/>
          <w:caps w:val="0"/>
          <w:sz w:val="24"/>
          <w:szCs w:val="36"/>
        </w:rPr>
        <w:t>治理</w:t>
      </w:r>
      <w:r>
        <w:rPr>
          <w:rFonts w:ascii="宋体" w:hAnsi="宋体"/>
          <w:caps w:val="0"/>
          <w:sz w:val="24"/>
          <w:szCs w:val="36"/>
        </w:rPr>
        <w:t>与</w:t>
      </w:r>
      <w:r>
        <w:rPr>
          <w:rFonts w:hint="eastAsia" w:ascii="宋体" w:hAnsi="宋体"/>
          <w:caps w:val="0"/>
          <w:sz w:val="24"/>
          <w:szCs w:val="36"/>
        </w:rPr>
        <w:t>土地复垦工作部署</w:t>
      </w:r>
      <w:r>
        <w:rPr>
          <w:caps w:val="0"/>
          <w:sz w:val="24"/>
        </w:rPr>
        <w:tab/>
      </w: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PAGEREF _Toc5987 </w:instrText>
      </w:r>
      <w:r>
        <w:rPr>
          <w:caps w:val="0"/>
          <w:sz w:val="24"/>
        </w:rPr>
        <w:fldChar w:fldCharType="separate"/>
      </w:r>
      <w:r>
        <w:rPr>
          <w:caps w:val="0"/>
          <w:sz w:val="24"/>
        </w:rPr>
        <w:t>137</w:t>
      </w:r>
      <w:r>
        <w:rPr>
          <w:caps w:val="0"/>
          <w:sz w:val="24"/>
        </w:rPr>
        <w:fldChar w:fldCharType="end"/>
      </w:r>
      <w:r>
        <w:rPr>
          <w: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_Toc13085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一、总体工作部署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_Toc13085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137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_Toc12683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二、阶段实施计划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_Toc12683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138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_Toc3294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三、近期年度工作安排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_Toc3294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140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4"/>
        <w:tabs>
          <w:tab w:val="right" w:leader="dot" w:pos="8691"/>
          <w:tab w:val="clear" w:pos="8681"/>
        </w:tabs>
        <w:spacing w:before="0" w:after="0" w:line="360" w:lineRule="auto"/>
        <w:rPr>
          <w:caps w:val="0"/>
          <w:sz w:val="24"/>
        </w:rPr>
      </w:pP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HYPERLINK \l _Toc21699 </w:instrText>
      </w:r>
      <w:r>
        <w:rPr>
          <w:caps w:val="0"/>
          <w:sz w:val="24"/>
        </w:rPr>
        <w:fldChar w:fldCharType="separate"/>
      </w:r>
      <w:r>
        <w:rPr>
          <w:rFonts w:ascii="宋体" w:hAnsi="宋体"/>
          <w:caps w:val="0"/>
          <w:sz w:val="24"/>
          <w:szCs w:val="36"/>
        </w:rPr>
        <w:t>第七章</w:t>
      </w:r>
      <w:r>
        <w:rPr>
          <w:rFonts w:hint="eastAsia" w:ascii="宋体" w:hAnsi="宋体"/>
          <w:caps w:val="0"/>
          <w:sz w:val="24"/>
          <w:szCs w:val="36"/>
        </w:rPr>
        <w:t xml:space="preserve">  </w:t>
      </w:r>
      <w:r>
        <w:rPr>
          <w:rFonts w:ascii="宋体" w:hAnsi="宋体"/>
          <w:caps w:val="0"/>
          <w:sz w:val="24"/>
          <w:szCs w:val="36"/>
        </w:rPr>
        <w:t>经费估算与进度安排</w:t>
      </w:r>
      <w:r>
        <w:rPr>
          <w:caps w:val="0"/>
          <w:sz w:val="24"/>
        </w:rPr>
        <w:tab/>
      </w: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PAGEREF _Toc21699 </w:instrText>
      </w:r>
      <w:r>
        <w:rPr>
          <w:caps w:val="0"/>
          <w:sz w:val="24"/>
        </w:rPr>
        <w:fldChar w:fldCharType="separate"/>
      </w:r>
      <w:r>
        <w:rPr>
          <w:caps w:val="0"/>
          <w:sz w:val="24"/>
        </w:rPr>
        <w:t>143</w:t>
      </w:r>
      <w:r>
        <w:rPr>
          <w:caps w:val="0"/>
          <w:sz w:val="24"/>
        </w:rPr>
        <w:fldChar w:fldCharType="end"/>
      </w:r>
      <w:r>
        <w:rPr>
          <w: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_Toc5739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一、经费估算依据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_Toc5739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143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_Toc20631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二、矿山地质环境治理工程经费估算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_Toc20631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143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_Toc790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三、土地复垦工程经费估算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_Toc790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149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_Toc27974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六、总费用汇总与年度安排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_Toc27974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161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4"/>
        <w:tabs>
          <w:tab w:val="right" w:leader="dot" w:pos="8691"/>
          <w:tab w:val="clear" w:pos="8681"/>
        </w:tabs>
        <w:spacing w:before="0" w:after="0" w:line="360" w:lineRule="auto"/>
        <w:rPr>
          <w:caps w:val="0"/>
          <w:sz w:val="24"/>
        </w:rPr>
      </w:pP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HYPERLINK \l _Toc31651 </w:instrText>
      </w:r>
      <w:r>
        <w:rPr>
          <w:caps w:val="0"/>
          <w:sz w:val="24"/>
        </w:rPr>
        <w:fldChar w:fldCharType="separate"/>
      </w:r>
      <w:r>
        <w:rPr>
          <w:rFonts w:hint="eastAsia" w:ascii="宋体" w:hAnsi="宋体"/>
          <w:caps w:val="0"/>
          <w:sz w:val="24"/>
          <w:szCs w:val="36"/>
        </w:rPr>
        <w:t xml:space="preserve">第八章  </w:t>
      </w:r>
      <w:r>
        <w:rPr>
          <w:rFonts w:ascii="宋体" w:hAnsi="宋体"/>
          <w:caps w:val="0"/>
          <w:sz w:val="24"/>
          <w:szCs w:val="36"/>
        </w:rPr>
        <w:t>保障措施</w:t>
      </w:r>
      <w:r>
        <w:rPr>
          <w:rFonts w:hint="eastAsia" w:ascii="宋体" w:hAnsi="宋体"/>
          <w:caps w:val="0"/>
          <w:sz w:val="24"/>
          <w:szCs w:val="36"/>
        </w:rPr>
        <w:t>与效益分析</w:t>
      </w:r>
      <w:r>
        <w:rPr>
          <w:caps w:val="0"/>
          <w:sz w:val="24"/>
        </w:rPr>
        <w:tab/>
      </w: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PAGEREF _Toc31651 </w:instrText>
      </w:r>
      <w:r>
        <w:rPr>
          <w:caps w:val="0"/>
          <w:sz w:val="24"/>
        </w:rPr>
        <w:fldChar w:fldCharType="separate"/>
      </w:r>
      <w:r>
        <w:rPr>
          <w:caps w:val="0"/>
          <w:sz w:val="24"/>
        </w:rPr>
        <w:t>163</w:t>
      </w:r>
      <w:r>
        <w:rPr>
          <w:caps w:val="0"/>
          <w:sz w:val="24"/>
        </w:rPr>
        <w:fldChar w:fldCharType="end"/>
      </w:r>
      <w:r>
        <w:rPr>
          <w: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_Toc13301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一、组织保障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_Toc13301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163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_Toc16946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二、技术保障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_Toc16946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163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_Toc3473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三、资金保障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_Toc3473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165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_Toc13857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四、监管保障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_Toc13857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166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_Toc5531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五、效益分析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_Toc5531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167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_Toc16414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六、公众参与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_Toc16414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168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4"/>
        <w:tabs>
          <w:tab w:val="right" w:leader="dot" w:pos="8691"/>
          <w:tab w:val="clear" w:pos="8681"/>
        </w:tabs>
        <w:spacing w:before="0" w:after="0" w:line="360" w:lineRule="auto"/>
        <w:rPr>
          <w:caps w:val="0"/>
          <w:sz w:val="24"/>
        </w:rPr>
      </w:pP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HYPERLINK \l _Toc10353 </w:instrText>
      </w:r>
      <w:r>
        <w:rPr>
          <w:caps w:val="0"/>
          <w:sz w:val="24"/>
        </w:rPr>
        <w:fldChar w:fldCharType="separate"/>
      </w:r>
      <w:r>
        <w:rPr>
          <w:rFonts w:hint="eastAsia" w:ascii="宋体" w:hAnsi="宋体"/>
          <w:caps w:val="0"/>
          <w:sz w:val="24"/>
          <w:szCs w:val="36"/>
        </w:rPr>
        <w:t>第九章  结论与建议</w:t>
      </w:r>
      <w:r>
        <w:rPr>
          <w:caps w:val="0"/>
          <w:sz w:val="24"/>
        </w:rPr>
        <w:tab/>
      </w:r>
      <w:r>
        <w:rPr>
          <w:caps w:val="0"/>
          <w:sz w:val="24"/>
        </w:rPr>
        <w:fldChar w:fldCharType="begin"/>
      </w:r>
      <w:r>
        <w:rPr>
          <w:caps w:val="0"/>
          <w:sz w:val="24"/>
        </w:rPr>
        <w:instrText xml:space="preserve"> PAGEREF _Toc10353 </w:instrText>
      </w:r>
      <w:r>
        <w:rPr>
          <w:caps w:val="0"/>
          <w:sz w:val="24"/>
        </w:rPr>
        <w:fldChar w:fldCharType="separate"/>
      </w:r>
      <w:r>
        <w:rPr>
          <w:caps w:val="0"/>
          <w:sz w:val="24"/>
        </w:rPr>
        <w:t>169</w:t>
      </w:r>
      <w:r>
        <w:rPr>
          <w:caps w:val="0"/>
          <w:sz w:val="24"/>
        </w:rPr>
        <w:fldChar w:fldCharType="end"/>
      </w:r>
      <w:r>
        <w:rPr>
          <w: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  <w:rPr>
          <w:smallCaps w:val="0"/>
          <w:sz w:val="24"/>
        </w:rPr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_Toc12241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一、结论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_Toc12241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169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pStyle w:val="5"/>
        <w:tabs>
          <w:tab w:val="right" w:leader="dot" w:pos="8691"/>
          <w:tab w:val="clear" w:pos="8681"/>
        </w:tabs>
      </w:pP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HYPERLINK \l _Toc12504 </w:instrText>
      </w:r>
      <w:r>
        <w:rPr>
          <w:smallCaps w:val="0"/>
          <w:sz w:val="24"/>
        </w:rPr>
        <w:fldChar w:fldCharType="separate"/>
      </w:r>
      <w:r>
        <w:rPr>
          <w:rFonts w:hint="eastAsia"/>
          <w:smallCaps w:val="0"/>
          <w:sz w:val="24"/>
        </w:rPr>
        <w:t>二、建议</w:t>
      </w:r>
      <w:r>
        <w:rPr>
          <w:smallCaps w:val="0"/>
          <w:sz w:val="24"/>
        </w:rPr>
        <w:tab/>
      </w:r>
      <w:r>
        <w:rPr>
          <w:smallCaps w:val="0"/>
          <w:sz w:val="24"/>
        </w:rPr>
        <w:fldChar w:fldCharType="begin"/>
      </w:r>
      <w:r>
        <w:rPr>
          <w:smallCaps w:val="0"/>
          <w:sz w:val="24"/>
        </w:rPr>
        <w:instrText xml:space="preserve"> PAGEREF _Toc12504 </w:instrText>
      </w:r>
      <w:r>
        <w:rPr>
          <w:smallCaps w:val="0"/>
          <w:sz w:val="24"/>
        </w:rPr>
        <w:fldChar w:fldCharType="separate"/>
      </w:r>
      <w:r>
        <w:rPr>
          <w:smallCaps w:val="0"/>
          <w:sz w:val="24"/>
        </w:rPr>
        <w:t>170</w:t>
      </w:r>
      <w:r>
        <w:rPr>
          <w:smallCaps w:val="0"/>
          <w:sz w:val="24"/>
        </w:rPr>
        <w:fldChar w:fldCharType="end"/>
      </w:r>
      <w:r>
        <w:rPr>
          <w:smallCaps w:val="0"/>
          <w:sz w:val="24"/>
        </w:rPr>
        <w:fldChar w:fldCharType="end"/>
      </w:r>
    </w:p>
    <w:p>
      <w:pPr>
        <w:snapToGrid w:val="0"/>
        <w:spacing w:after="156" w:afterLines="50"/>
        <w:jc w:val="center"/>
      </w:pPr>
      <w:r>
        <w:fldChar w:fldCharType="end"/>
      </w:r>
    </w:p>
    <w:p>
      <w:pPr>
        <w:snapToGrid w:val="0"/>
        <w:spacing w:after="156" w:afterLines="50"/>
        <w:jc w:val="center"/>
      </w:pPr>
    </w:p>
    <w:p>
      <w:pPr>
        <w:snapToGrid w:val="0"/>
        <w:spacing w:after="156" w:afterLines="50"/>
        <w:jc w:val="center"/>
      </w:pPr>
    </w:p>
    <w:p>
      <w:pPr>
        <w:snapToGrid w:val="0"/>
        <w:spacing w:after="156" w:afterLines="50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  图</w:t>
      </w:r>
    </w:p>
    <w:p>
      <w:p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1、广东</w:t>
      </w:r>
      <w:r>
        <w:rPr>
          <w:rFonts w:hint="eastAsia" w:ascii="宋体" w:hAnsi="宋体" w:cs="宋体"/>
          <w:sz w:val="24"/>
          <w:lang w:val="en-US" w:eastAsia="zh-CN"/>
        </w:rPr>
        <w:t>XXXX</w:t>
      </w:r>
      <w:r>
        <w:rPr>
          <w:rFonts w:hint="eastAsia" w:ascii="宋体" w:hAnsi="宋体" w:cs="宋体"/>
          <w:sz w:val="24"/>
        </w:rPr>
        <w:t>矿矿山地质环境现状评估图        （1:10000）</w:t>
      </w:r>
    </w:p>
    <w:p>
      <w:pPr>
        <w:rPr>
          <w:rFonts w:hint="eastAsia"/>
        </w:rPr>
      </w:pPr>
    </w:p>
    <w:p>
      <w:pPr>
        <w:snapToGrid w:val="0"/>
        <w:spacing w:after="156" w:afterLines="50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 xml:space="preserve">附  </w:t>
      </w:r>
      <w:r>
        <w:rPr>
          <w:rFonts w:hint="eastAsia" w:ascii="宋体" w:hAnsi="宋体"/>
          <w:b/>
          <w:sz w:val="32"/>
          <w:szCs w:val="32"/>
        </w:rPr>
        <w:t>表</w:t>
      </w:r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1、矿山地质环境调查表</w:t>
      </w:r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2、土地复垦方案报告表</w:t>
      </w:r>
    </w:p>
    <w:p>
      <w:pPr>
        <w:jc w:val="center"/>
        <w:rPr>
          <w:rFonts w:hint="eastAsia" w:ascii="宋体" w:hAnsi="宋体"/>
          <w:b/>
          <w:sz w:val="28"/>
          <w:szCs w:val="28"/>
        </w:rPr>
      </w:pPr>
    </w:p>
    <w:p>
      <w:pPr>
        <w:snapToGrid w:val="0"/>
        <w:spacing w:after="156" w:afterLines="50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  件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采矿许可证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委托书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矿产资源储量评审备案证明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2019年矿山储量年报核查意见书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开发利用方案审查意见书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矿山建设用地的批复附件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补充耕地项目验收确认函附件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使用林地审核同意书附件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土地使用证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土地权属人对复垦工作的意见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土地复垦义务人对方案的承诺书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内审意见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（正文见后）</w:t>
      </w: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  <w:sectPr>
          <w:headerReference r:id="rId11" w:type="first"/>
          <w:footerReference r:id="rId14" w:type="first"/>
          <w:headerReference r:id="rId9" w:type="default"/>
          <w:footerReference r:id="rId12" w:type="default"/>
          <w:headerReference r:id="rId10" w:type="even"/>
          <w:footerReference r:id="rId13" w:type="even"/>
          <w:pgSz w:w="11906" w:h="16838"/>
          <w:pgMar w:top="1440" w:right="1418" w:bottom="1440" w:left="1797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top w:val="none" w:color="auto" w:sz="0" w:space="0"/>
      </w:pBd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9FA64"/>
    <w:multiLevelType w:val="singleLevel"/>
    <w:tmpl w:val="5ED9FA6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130D3"/>
    <w:rsid w:val="04795B48"/>
    <w:rsid w:val="05DC70C3"/>
    <w:rsid w:val="3F7130D3"/>
    <w:rsid w:val="5BE85072"/>
    <w:rsid w:val="6859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double" w:color="auto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qFormat/>
    <w:uiPriority w:val="39"/>
    <w:pPr>
      <w:tabs>
        <w:tab w:val="right" w:leader="dot" w:pos="8681"/>
      </w:tabs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5">
    <w:name w:val="toc 2"/>
    <w:basedOn w:val="1"/>
    <w:next w:val="1"/>
    <w:qFormat/>
    <w:uiPriority w:val="39"/>
    <w:pPr>
      <w:tabs>
        <w:tab w:val="right" w:leader="dot" w:pos="8681"/>
      </w:tabs>
      <w:spacing w:line="360" w:lineRule="auto"/>
      <w:ind w:left="210"/>
      <w:jc w:val="left"/>
    </w:pPr>
    <w:rPr>
      <w:rFonts w:ascii="Calibri" w:hAnsi="Calibri"/>
      <w:smallCaps/>
      <w:sz w:val="20"/>
      <w:szCs w:val="20"/>
    </w:rPr>
  </w:style>
  <w:style w:type="character" w:styleId="8">
    <w:name w:val="page number"/>
    <w:basedOn w:val="7"/>
    <w:uiPriority w:val="0"/>
  </w:style>
  <w:style w:type="paragraph" w:customStyle="1" w:styleId="9">
    <w:name w:val="5正文"/>
    <w:basedOn w:val="1"/>
    <w:link w:val="10"/>
    <w:qFormat/>
    <w:uiPriority w:val="0"/>
    <w:pPr>
      <w:spacing w:line="360" w:lineRule="auto"/>
      <w:ind w:firstLine="480" w:firstLineChars="200"/>
    </w:pPr>
    <w:rPr>
      <w:rFonts w:ascii="宋体" w:hAnsi="宋体"/>
      <w:bCs/>
      <w:kern w:val="0"/>
      <w:sz w:val="24"/>
    </w:rPr>
  </w:style>
  <w:style w:type="character" w:customStyle="1" w:styleId="10">
    <w:name w:val="5正文 Char"/>
    <w:link w:val="9"/>
    <w:qFormat/>
    <w:locked/>
    <w:uiPriority w:val="99"/>
    <w:rPr>
      <w:rFonts w:ascii="宋体" w:hAnsi="宋体"/>
      <w:bCs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2020-10-16T03:32:00Z</dcterms:created>
  <dc:creator>陈仑</dc:creator>
  <cp:lastModifiedBy>陈仑</cp:lastModifiedBy>
  <dcterms:modified xsi:type="dcterms:W3CDTF">2020-10-16T03:47:44Z</dcterms:modified>
  <dc:title>目  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